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013EB">
      <w:pPr>
        <w:ind w:firstLine="6325" w:firstLineChars="3000"/>
        <w:rPr>
          <w:b/>
          <w:bCs/>
        </w:rPr>
      </w:pPr>
      <w:r>
        <w:rPr>
          <w:rFonts w:hint="eastAsia"/>
          <w:b/>
          <w:bCs/>
        </w:rPr>
        <w:t>合同编号：</w:t>
      </w:r>
    </w:p>
    <w:p w14:paraId="1E5F4BE9">
      <w:pPr>
        <w:jc w:val="center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1BF68554">
      <w:pPr>
        <w:jc w:val="center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370DAEA9">
      <w:pPr>
        <w:jc w:val="center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7EA63B8A">
      <w:pPr>
        <w:pStyle w:val="2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0A6288D3">
      <w:pPr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4F3595A8">
      <w:pPr>
        <w:pStyle w:val="2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3AB9FBF1">
      <w:pPr>
        <w:jc w:val="center"/>
        <w:rPr>
          <w:rFonts w:ascii="宋体" w:hAnsi="宋体" w:cs="宋体"/>
          <w:b/>
          <w:bCs/>
          <w:spacing w:val="34"/>
          <w:sz w:val="44"/>
          <w:szCs w:val="44"/>
        </w:rPr>
      </w:pP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XXX</w:t>
      </w:r>
      <w:r>
        <w:rPr>
          <w:rFonts w:hint="eastAsia" w:ascii="宋体" w:hAnsi="宋体" w:cs="宋体"/>
          <w:b/>
          <w:bCs/>
          <w:spacing w:val="0"/>
          <w:sz w:val="44"/>
          <w:szCs w:val="44"/>
        </w:rPr>
        <w:t>项目节能评估</w:t>
      </w: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服务</w:t>
      </w:r>
      <w:r>
        <w:rPr>
          <w:rFonts w:hint="eastAsia" w:ascii="宋体" w:hAnsi="宋体" w:cs="宋体"/>
          <w:b/>
          <w:bCs/>
          <w:spacing w:val="0"/>
          <w:sz w:val="44"/>
          <w:szCs w:val="44"/>
        </w:rPr>
        <w:t>合同</w:t>
      </w:r>
    </w:p>
    <w:p w14:paraId="0D833A5D">
      <w:pPr>
        <w:jc w:val="center"/>
        <w:rPr>
          <w:rFonts w:ascii="宋体" w:hAnsi="宋体" w:cs="宋体"/>
          <w:b/>
          <w:bCs/>
          <w:spacing w:val="34"/>
          <w:sz w:val="44"/>
          <w:szCs w:val="44"/>
        </w:rPr>
      </w:pPr>
    </w:p>
    <w:p w14:paraId="2752573C">
      <w:pPr>
        <w:spacing w:line="300" w:lineRule="auto"/>
        <w:ind w:firstLine="1449" w:firstLineChars="328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hint="eastAsia" w:ascii="宋体" w:hAnsi="宋体" w:cs="宋体"/>
          <w:b/>
          <w:sz w:val="44"/>
        </w:rPr>
        <w:tab/>
      </w:r>
      <w:r>
        <w:rPr>
          <w:rFonts w:hint="eastAsia" w:ascii="宋体" w:hAnsi="宋体" w:cs="宋体"/>
          <w:b/>
          <w:sz w:val="44"/>
        </w:rPr>
        <w:t xml:space="preserve">                 </w:t>
      </w:r>
    </w:p>
    <w:p w14:paraId="74D7E36D">
      <w:pPr>
        <w:tabs>
          <w:tab w:val="left" w:pos="6039"/>
        </w:tabs>
        <w:rPr>
          <w:rFonts w:ascii="宋体" w:hAnsi="宋体" w:cs="宋体"/>
          <w:bCs/>
          <w:sz w:val="44"/>
        </w:rPr>
      </w:pPr>
    </w:p>
    <w:p w14:paraId="3CE9776F">
      <w:pPr>
        <w:tabs>
          <w:tab w:val="left" w:pos="6039"/>
        </w:tabs>
        <w:rPr>
          <w:rFonts w:ascii="宋体" w:hAnsi="宋体" w:cs="宋体"/>
          <w:bCs/>
          <w:sz w:val="44"/>
        </w:rPr>
      </w:pPr>
    </w:p>
    <w:p w14:paraId="0C726EB8">
      <w:pPr>
        <w:spacing w:line="300" w:lineRule="auto"/>
        <w:ind w:left="3054" w:hanging="3054" w:hangingChars="895"/>
        <w:rPr>
          <w:rFonts w:ascii="宋体" w:hAnsi="宋体" w:cs="宋体"/>
          <w:b/>
          <w:spacing w:val="10"/>
          <w:sz w:val="32"/>
        </w:rPr>
      </w:pPr>
      <w:r>
        <w:rPr>
          <w:rFonts w:hint="eastAsia" w:ascii="宋体" w:hAnsi="宋体" w:cs="宋体"/>
          <w:b/>
          <w:spacing w:val="10"/>
          <w:sz w:val="32"/>
        </w:rPr>
        <w:t xml:space="preserve">     </w:t>
      </w:r>
    </w:p>
    <w:p w14:paraId="473FA7C3">
      <w:pPr>
        <w:pStyle w:val="2"/>
        <w:rPr>
          <w:b/>
          <w:spacing w:val="10"/>
          <w:sz w:val="32"/>
        </w:rPr>
      </w:pPr>
    </w:p>
    <w:p w14:paraId="2816A67E">
      <w:pPr>
        <w:rPr>
          <w:rFonts w:ascii="宋体" w:hAnsi="宋体" w:cs="宋体"/>
          <w:b/>
          <w:spacing w:val="10"/>
          <w:sz w:val="32"/>
        </w:rPr>
      </w:pPr>
    </w:p>
    <w:p w14:paraId="532A797F">
      <w:pPr>
        <w:pStyle w:val="2"/>
      </w:pPr>
    </w:p>
    <w:p w14:paraId="6FF5E264">
      <w:pPr>
        <w:pStyle w:val="2"/>
      </w:pPr>
    </w:p>
    <w:p w14:paraId="612054E0">
      <w:pPr>
        <w:spacing w:line="300" w:lineRule="auto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/>
          <w:b/>
          <w:sz w:val="30"/>
          <w:szCs w:val="30"/>
        </w:rPr>
        <w:t xml:space="preserve">      </w:t>
      </w:r>
      <w:r>
        <w:rPr>
          <w:rFonts w:hint="eastAsia" w:ascii="宋体" w:hAnsi="宋体" w:cs="宋体"/>
          <w:b/>
          <w:sz w:val="30"/>
          <w:szCs w:val="30"/>
        </w:rPr>
        <w:t>委托方（甲方）：</w:t>
      </w:r>
    </w:p>
    <w:p w14:paraId="47DEC01C">
      <w:pPr>
        <w:spacing w:line="300" w:lineRule="auto"/>
        <w:ind w:firstLine="904" w:firstLineChars="300"/>
        <w:rPr>
          <w:rFonts w:ascii="宋体" w:hAnsi="宋体" w:cs="宋体"/>
          <w:b/>
          <w:sz w:val="30"/>
          <w:szCs w:val="30"/>
        </w:rPr>
      </w:pPr>
    </w:p>
    <w:p w14:paraId="4CF37071">
      <w:pPr>
        <w:spacing w:line="300" w:lineRule="auto"/>
        <w:ind w:firstLine="904" w:firstLineChars="300"/>
        <w:rPr>
          <w:rFonts w:ascii="宋体" w:hAnsi="宋体" w:cs="宋体"/>
          <w:b/>
          <w:sz w:val="30"/>
          <w:szCs w:val="30"/>
          <w:u w:val="single"/>
        </w:rPr>
      </w:pPr>
      <w:r>
        <w:rPr>
          <w:rFonts w:hint="eastAsia" w:ascii="宋体" w:hAnsi="宋体" w:cs="宋体"/>
          <w:b/>
          <w:sz w:val="30"/>
          <w:szCs w:val="30"/>
        </w:rPr>
        <w:t>承接方（乙方）：</w:t>
      </w:r>
    </w:p>
    <w:p w14:paraId="54EFA412">
      <w:pPr>
        <w:spacing w:line="300" w:lineRule="auto"/>
        <w:ind w:firstLine="988" w:firstLineChars="328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b/>
          <w:sz w:val="30"/>
          <w:szCs w:val="30"/>
        </w:rPr>
        <w:t xml:space="preserve">      </w:t>
      </w:r>
    </w:p>
    <w:p w14:paraId="50595943">
      <w:pPr>
        <w:spacing w:line="300" w:lineRule="auto"/>
        <w:rPr>
          <w:b/>
          <w:sz w:val="32"/>
        </w:rPr>
      </w:pPr>
      <w:r>
        <w:rPr>
          <w:rFonts w:hint="eastAsia"/>
          <w:b/>
          <w:sz w:val="32"/>
        </w:rPr>
        <w:t xml:space="preserve">      </w:t>
      </w:r>
      <w:r>
        <w:rPr>
          <w:b/>
          <w:sz w:val="32"/>
        </w:rPr>
        <w:t xml:space="preserve">签 </w:t>
      </w:r>
      <w:r>
        <w:rPr>
          <w:rFonts w:hint="eastAsia"/>
          <w:b/>
          <w:sz w:val="32"/>
        </w:rPr>
        <w:t>订</w:t>
      </w:r>
      <w:r>
        <w:rPr>
          <w:b/>
          <w:sz w:val="32"/>
        </w:rPr>
        <w:t xml:space="preserve"> 日 期：</w:t>
      </w:r>
      <w:r>
        <w:rPr>
          <w:rFonts w:hint="eastAsia"/>
          <w:b/>
          <w:sz w:val="32"/>
        </w:rPr>
        <w:t xml:space="preserve"> 202</w:t>
      </w:r>
      <w:r>
        <w:rPr>
          <w:rFonts w:hint="eastAsia"/>
          <w:b/>
          <w:sz w:val="32"/>
          <w:lang w:val="en-US" w:eastAsia="zh-CN"/>
        </w:rPr>
        <w:t xml:space="preserve"> 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年  </w:t>
      </w:r>
      <w:r>
        <w:rPr>
          <w:rFonts w:hint="eastAsia"/>
          <w:b/>
          <w:sz w:val="32"/>
          <w:lang w:val="en-US" w:eastAsia="zh-CN"/>
        </w:rPr>
        <w:t xml:space="preserve"> 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月 </w:t>
      </w:r>
      <w:r>
        <w:rPr>
          <w:rFonts w:hint="eastAsia"/>
          <w:b/>
          <w:sz w:val="32"/>
        </w:rPr>
        <w:t xml:space="preserve">   </w:t>
      </w:r>
      <w:r>
        <w:rPr>
          <w:b/>
          <w:sz w:val="32"/>
        </w:rPr>
        <w:t xml:space="preserve"> 日</w:t>
      </w:r>
    </w:p>
    <w:p w14:paraId="4C582B80">
      <w:pPr>
        <w:spacing w:line="300" w:lineRule="auto"/>
        <w:rPr>
          <w:b/>
          <w:sz w:val="32"/>
        </w:rPr>
      </w:pPr>
    </w:p>
    <w:p w14:paraId="7F327199">
      <w:pPr>
        <w:sectPr>
          <w:footerReference r:id="rId3" w:type="default"/>
          <w:footerReference r:id="rId4" w:type="even"/>
          <w:pgSz w:w="11906" w:h="16838"/>
          <w:pgMar w:top="1361" w:right="1612" w:bottom="1134" w:left="1474" w:header="851" w:footer="992" w:gutter="0"/>
          <w:cols w:space="720" w:num="1"/>
          <w:docGrid w:type="lines" w:linePitch="312" w:charSpace="0"/>
        </w:sectPr>
      </w:pPr>
    </w:p>
    <w:p w14:paraId="72F9E2FD">
      <w:pPr>
        <w:pStyle w:val="4"/>
        <w:ind w:right="307" w:rightChars="146"/>
        <w:jc w:val="center"/>
      </w:pPr>
      <w:r>
        <w:rPr>
          <w:rFonts w:hint="eastAsia"/>
        </w:rPr>
        <w:t>节能评估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/>
        </w:rPr>
        <w:t>合同</w:t>
      </w:r>
    </w:p>
    <w:p w14:paraId="4C2EB3D7">
      <w:pPr>
        <w:spacing w:line="360" w:lineRule="auto"/>
        <w:ind w:firstLine="787" w:firstLineChars="328"/>
        <w:rPr>
          <w:bCs/>
          <w:kern w:val="0"/>
          <w:sz w:val="24"/>
          <w:u w:val="single"/>
        </w:rPr>
      </w:pPr>
      <w:r>
        <w:rPr>
          <w:rFonts w:hint="eastAsia"/>
          <w:bCs/>
          <w:sz w:val="24"/>
        </w:rPr>
        <w:t xml:space="preserve">                                   </w:t>
      </w:r>
    </w:p>
    <w:p w14:paraId="0A62616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甲方（全称）：</w:t>
      </w:r>
    </w:p>
    <w:p w14:paraId="3F3ABF2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Lines="-2147483648" w:afterLines="-2147483648" w:line="5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乙方（全称）：</w:t>
      </w:r>
    </w:p>
    <w:p w14:paraId="67FB169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根据《中华人民共和国民法典》、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《中华人民共和国节约能源法》（2016年7月修订）、《四川省固定资产投资项目节能审查实施办法》的通知（川发改环资〔2017〕170号）</w:t>
      </w:r>
      <w:r>
        <w:rPr>
          <w:rFonts w:hint="eastAsia" w:ascii="宋体" w:hAnsi="宋体" w:eastAsia="宋体" w:cs="宋体"/>
          <w:sz w:val="24"/>
        </w:rPr>
        <w:t>及其有关法律、法规，遵循平等、自愿、公平和诚实信用的原则，双方就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>(以下简称项目)的节能评估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</w:rPr>
        <w:t>协商一致，并达成合同如下：</w:t>
      </w:r>
    </w:p>
    <w:p w14:paraId="2C1F0A1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一、项目概况</w:t>
      </w:r>
    </w:p>
    <w:p w14:paraId="0D9AE22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</w:rPr>
        <w:t>1、项目名称：</w:t>
      </w:r>
      <w:r>
        <w:rPr>
          <w:rFonts w:hint="eastAsia" w:ascii="宋体" w:hAnsi="宋体" w:eastAsia="宋体" w:cs="宋体"/>
          <w:sz w:val="24"/>
          <w:lang w:val="en-US" w:eastAsia="zh-CN"/>
        </w:rPr>
        <w:t>星堆遗址区棚户区改造项目节能评估服务</w:t>
      </w:r>
    </w:p>
    <w:p w14:paraId="457518D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</w:rPr>
        <w:t>2、建设地点：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广汉市</w:t>
      </w:r>
    </w:p>
    <w:p w14:paraId="251507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3、</w:t>
      </w:r>
      <w:r>
        <w:rPr>
          <w:rFonts w:hint="eastAsia" w:ascii="宋体" w:hAnsi="宋体" w:eastAsia="宋体" w:cs="宋体"/>
          <w:sz w:val="24"/>
          <w:lang w:val="en-US" w:eastAsia="zh-CN"/>
        </w:rPr>
        <w:t>建设</w:t>
      </w:r>
      <w:r>
        <w:rPr>
          <w:rFonts w:hint="eastAsia" w:ascii="宋体" w:hAnsi="宋体" w:eastAsia="宋体" w:cs="宋体"/>
          <w:sz w:val="24"/>
        </w:rPr>
        <w:t>规模：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项目总占地面积约146亩，拟修建约2818套，总建筑面积约37.18万平方米。其中:一期占地面积约86.8亩，拟修建约1692套，总建筑面积约21.64万平方米，包括住宅、商业、配套用房、道路、照明、管网、安防、消防等配套设施；二期占地面积约59.2亩，拟修建约1126套，总建筑面积约15.54万平方米，包括住宅、商业、配套用房、道路、照明、管网、安防、消防等配套设施。最终以规划批准的设计方案为准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308AD71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二、工作内容</w:t>
      </w:r>
    </w:p>
    <w:p w14:paraId="7C24803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1、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按相关要求编制节能评估的全部内容，完成节能评估报告表编制工作，提交成果文件必须符合相关规定，经专家评审，并通过行政主管部门审批，取得相应批复文件</w:t>
      </w:r>
      <w:r>
        <w:rPr>
          <w:rFonts w:hint="eastAsia" w:ascii="宋体" w:hAnsi="宋体" w:eastAsia="宋体" w:cs="宋体"/>
          <w:sz w:val="24"/>
          <w:u w:val="single"/>
        </w:rPr>
        <w:t>；</w:t>
      </w:r>
    </w:p>
    <w:p w14:paraId="1174E71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合同签订并收到甲方相关资料后20日历天内完成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；</w:t>
      </w:r>
    </w:p>
    <w:p w14:paraId="66BDB60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服务费用及支付方式</w:t>
      </w:r>
    </w:p>
    <w:p w14:paraId="1B56DF3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sz w:val="24"/>
          <w:szCs w:val="24"/>
        </w:rPr>
        <w:t>本项目服务费用由以下组成：</w:t>
      </w:r>
    </w:p>
    <w:p w14:paraId="5111B69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本合同成交金额为：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元整（大写：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税率：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/>
          <w:color w:val="auto"/>
          <w:spacing w:val="3"/>
          <w:sz w:val="24"/>
          <w:szCs w:val="24"/>
        </w:rPr>
        <w:t>（税率*%，增值税税率根据国家现行政策执行,只调整税金额度,不调整不含税价款）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该费用为包干费用，已包括但不限于编制费、评审费、会务费、人工费、材料费、交通费、差旅费、税费、利润、保险等乙方为完成本合同项下约定服务的所有费用以及后续服务费。除此之外，乙方不得要求甲方支付任何费用</w:t>
      </w:r>
      <w:r>
        <w:rPr>
          <w:rFonts w:hint="eastAsia" w:ascii="宋体" w:hAnsi="宋体" w:eastAsia="宋体" w:cs="宋体"/>
          <w:b/>
          <w:sz w:val="24"/>
          <w:szCs w:val="24"/>
        </w:rPr>
        <w:t>。</w:t>
      </w:r>
    </w:p>
    <w:p w14:paraId="0EAAA6C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费用</w:t>
      </w:r>
      <w:r>
        <w:rPr>
          <w:rFonts w:hint="eastAsia" w:ascii="宋体" w:hAnsi="宋体" w:eastAsia="宋体" w:cs="宋体"/>
          <w:b/>
          <w:sz w:val="24"/>
          <w:szCs w:val="24"/>
        </w:rPr>
        <w:t>支付方式</w:t>
      </w:r>
    </w:p>
    <w:p w14:paraId="550A0C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1、乙方按照相关要求规定，完成合同约定全部内容，向甲方提交服务成果，经甲方确认，同时取得主管部门批准文件后15个工作日内一次性付清全部费用。</w:t>
      </w:r>
    </w:p>
    <w:p w14:paraId="5861B4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2、付款前，乙方需向甲方出具等额合法有效的增值税专用发票。若因乙方原因未及时提供发票或提供发票不合格，甲方支付时间顺延，且不承担迟延支付的违约责任。</w:t>
      </w:r>
    </w:p>
    <w:p w14:paraId="6C0DAB3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乙方指定收款银行账户如下：</w:t>
      </w:r>
    </w:p>
    <w:p w14:paraId="6A8569A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户名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有限公司</w:t>
      </w:r>
    </w:p>
    <w:p w14:paraId="7EE5F35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纳税人识别号：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xxxxx</w:t>
      </w:r>
    </w:p>
    <w:p w14:paraId="66F43BF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地址、电话：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xxxxx   xxxxx</w:t>
      </w:r>
    </w:p>
    <w:p w14:paraId="4E554EA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开户行及账号：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xxxxx   xxxxx</w:t>
      </w:r>
    </w:p>
    <w:p w14:paraId="4F3A64C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四、甲方的权利和义务</w:t>
      </w:r>
    </w:p>
    <w:p w14:paraId="1A0044F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1、按合同约定，委托项目的节能评估报告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</w:t>
      </w:r>
      <w:r>
        <w:rPr>
          <w:rFonts w:hint="eastAsia" w:ascii="宋体" w:hAnsi="宋体" w:eastAsia="宋体" w:cs="宋体"/>
          <w:sz w:val="24"/>
          <w:szCs w:val="24"/>
        </w:rPr>
        <w:t>编制工作并接收项目成果；</w:t>
      </w:r>
    </w:p>
    <w:p w14:paraId="342E2DD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2、向乙方询问本合同项目工作进展情况和相关内容或提出建议；</w:t>
      </w:r>
    </w:p>
    <w:p w14:paraId="4BF5C69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3、审查乙方编制的报告，并提出修改意见；</w:t>
      </w:r>
    </w:p>
    <w:p w14:paraId="7B34D96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4、甲方于合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同生效后</w:t>
      </w:r>
      <w:r>
        <w:rPr>
          <w:rFonts w:hint="eastAsia" w:ascii="宋体" w:hAnsi="宋体" w:eastAsia="宋体" w:cs="宋体"/>
          <w:sz w:val="24"/>
          <w:szCs w:val="24"/>
        </w:rPr>
        <w:t>，向乙方提供本项目相关资料；</w:t>
      </w:r>
    </w:p>
    <w:p w14:paraId="31337A79"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5、向乙方提供能满足完成项目编制工作的全部资料和图纸，对提供资料的真实性、完整性、准确性负责；</w:t>
      </w:r>
    </w:p>
    <w:p w14:paraId="71995FFA"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6、根据需要，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</w:t>
      </w:r>
      <w:r>
        <w:rPr>
          <w:rFonts w:hint="eastAsia" w:ascii="宋体" w:hAnsi="宋体" w:eastAsia="宋体" w:cs="宋体"/>
          <w:sz w:val="24"/>
          <w:szCs w:val="24"/>
        </w:rPr>
        <w:t>好与第三方的协调工作。</w:t>
      </w:r>
    </w:p>
    <w:p w14:paraId="284DFA8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7、按本合同条款约定的支付方式及时间向乙方支付工作报酬；</w:t>
      </w:r>
    </w:p>
    <w:p w14:paraId="568039F3"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8、甲方不得提出违反法律、行政法规的要求。</w:t>
      </w:r>
    </w:p>
    <w:p w14:paraId="576210A5"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9、其它应尽的义务和职责。</w:t>
      </w:r>
    </w:p>
    <w:p w14:paraId="3B272A5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五、乙方的权利和义务</w:t>
      </w:r>
    </w:p>
    <w:p w14:paraId="746997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1、按合同约定收取服务费；</w:t>
      </w:r>
    </w:p>
    <w:p w14:paraId="4E8DB3F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2、对项目报告编制过程中应由甲方做出的决定，乙方有权提出建议；</w:t>
      </w:r>
    </w:p>
    <w:p w14:paraId="266DE02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3、当甲方提供的资料不足或不明确时，有权书面提出补足资料</w:t>
      </w:r>
    </w:p>
    <w:p w14:paraId="45DC76F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4、向甲方提交本项目</w:t>
      </w:r>
      <w:r>
        <w:rPr>
          <w:rFonts w:hint="eastAsia" w:ascii="宋体" w:hAnsi="宋体" w:eastAsia="宋体" w:cs="宋体"/>
          <w:sz w:val="24"/>
          <w:szCs w:val="24"/>
          <w:u w:val="single"/>
        </w:rPr>
        <w:t>节能评估报告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纸质版</w:t>
      </w:r>
      <w:r>
        <w:rPr>
          <w:rFonts w:hint="eastAsia" w:ascii="宋体" w:hAnsi="宋体" w:eastAsia="宋体" w:cs="宋体"/>
          <w:sz w:val="24"/>
          <w:szCs w:val="24"/>
          <w:u w:val="single"/>
        </w:rPr>
        <w:t>4份、电子版1份</w:t>
      </w:r>
      <w:r>
        <w:rPr>
          <w:rFonts w:hint="eastAsia" w:ascii="宋体" w:hAnsi="宋体" w:eastAsia="宋体" w:cs="宋体"/>
          <w:sz w:val="24"/>
          <w:szCs w:val="24"/>
        </w:rPr>
        <w:t>，乙方对于为本合同项目编制的所有报告拥有版权，甲方不得将报告转让或销售获利；</w:t>
      </w:r>
    </w:p>
    <w:p w14:paraId="2AFB0EC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、乙方依法按照客观、科学、公正、高效和诚实信用原则，选择有足够经验的专业人员，在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甲方提供齐全项目相关资料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后1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日内</w:t>
      </w:r>
      <w:r>
        <w:rPr>
          <w:rFonts w:hint="eastAsia" w:ascii="宋体" w:hAnsi="宋体" w:eastAsia="宋体" w:cs="宋体"/>
          <w:sz w:val="24"/>
          <w:szCs w:val="24"/>
        </w:rPr>
        <w:t>完成本项目的编制工作；</w:t>
      </w:r>
    </w:p>
    <w:p w14:paraId="78A67A8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、应对编制报告中的各种数据的计算、技术经济资料的科学性和正确性负责；</w:t>
      </w:r>
    </w:p>
    <w:p w14:paraId="1F1A119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、乙方应对甲方提供的一切资料、数据予以保密，未经甲方书面同意不得向第三方透露；</w:t>
      </w:r>
    </w:p>
    <w:p w14:paraId="0126D25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、按照国家相关编制规范进行编制，保证节能章节和深度符合相关要求。</w:t>
      </w:r>
    </w:p>
    <w:p w14:paraId="3BC2CEF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六、报告编撰标准</w:t>
      </w:r>
    </w:p>
    <w:p w14:paraId="4272B6C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依据相关法律法规、项目编写规范及相关部门要求的格式进行编撰。</w:t>
      </w:r>
    </w:p>
    <w:p w14:paraId="63A8E82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违约责任</w:t>
      </w:r>
    </w:p>
    <w:p w14:paraId="7DB40A1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1、因甲方未能取得项目核准必要的手续或设计不符合有关要求，造成成果文件无法完成，由甲方承担相关责任；</w:t>
      </w:r>
    </w:p>
    <w:p w14:paraId="3B82D7C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2、因乙方文本编撰不符合要求，乙方负责补充修改相关内容；若补充修改后成果文件最终仍无法通过审核的，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应向甲方支付合同金额的10%作为违约金，</w:t>
      </w:r>
      <w:r>
        <w:rPr>
          <w:rFonts w:hint="eastAsia" w:ascii="宋体" w:hAnsi="宋体" w:eastAsia="宋体" w:cs="宋体"/>
          <w:sz w:val="24"/>
          <w:szCs w:val="24"/>
        </w:rPr>
        <w:t>造成甲方损失的，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应承担甲方全部损失赔偿责任，甲方损失包括但不限于甲方为主张权利产生的诉讼费、保全费、保全保险费、律师费、公证费、差旅费等全部费用。</w:t>
      </w:r>
    </w:p>
    <w:p w14:paraId="7755B4C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八、争议的处理方式</w:t>
      </w:r>
    </w:p>
    <w:p w14:paraId="0F2CDF4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本合同在履行过程中发生的争执，应通过双方协商一致解决，协商不能达成一致意见，可按下列第（二）种方式解决。</w:t>
      </w:r>
    </w:p>
    <w:p w14:paraId="2B76F34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（一）提交/仲裁委员会仲裁；</w:t>
      </w:r>
    </w:p>
    <w:p w14:paraId="535E23D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（二）依法向项目所在地人民法院起诉。</w:t>
      </w:r>
    </w:p>
    <w:p w14:paraId="6C58941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九、其它</w:t>
      </w:r>
    </w:p>
    <w:p w14:paraId="7BA6EE0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1、本合同未详尽事宜，由双方当事人共同协商解决。</w:t>
      </w:r>
    </w:p>
    <w:p w14:paraId="0B49B7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2、本合同一式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份，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方执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肆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方执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贰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份。</w:t>
      </w:r>
    </w:p>
    <w:p w14:paraId="541D979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3、本合同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自成立之日起</w:t>
      </w:r>
      <w:r>
        <w:rPr>
          <w:rFonts w:hint="eastAsia" w:ascii="宋体" w:hAnsi="宋体" w:eastAsia="宋体" w:cs="宋体"/>
          <w:sz w:val="24"/>
          <w:szCs w:val="24"/>
        </w:rPr>
        <w:t>生效。</w:t>
      </w:r>
    </w:p>
    <w:p w14:paraId="6A81C88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十、补充条款</w:t>
      </w:r>
    </w:p>
    <w:p w14:paraId="50D6815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Cs/>
          <w:color w:val="FF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</w:rPr>
        <w:t>无</w:t>
      </w:r>
    </w:p>
    <w:p w14:paraId="568B3344">
      <w:pPr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</w:p>
    <w:p w14:paraId="6F23ED86">
      <w:pPr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</w:p>
    <w:p w14:paraId="7922662F">
      <w:pPr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甲方（盖章）：                    乙方（盖章）：</w:t>
      </w:r>
    </w:p>
    <w:p w14:paraId="51FA355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-6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      </w:t>
      </w:r>
    </w:p>
    <w:p w14:paraId="39CFC88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法定代表人（签字或盖章）：        法定代表人（签字或盖章）：</w:t>
      </w:r>
    </w:p>
    <w:p w14:paraId="7B70D65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或委托代理人：</w:t>
      </w:r>
      <w:r>
        <w:rPr>
          <w:rFonts w:hint="eastAsia" w:ascii="宋体" w:hAnsi="宋体" w:eastAsia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或委托代理人：</w:t>
      </w:r>
    </w:p>
    <w:p w14:paraId="4B545068">
      <w:pPr>
        <w:keepNext w:val="0"/>
        <w:keepLines w:val="0"/>
        <w:pageBreakBefore w:val="0"/>
        <w:tabs>
          <w:tab w:val="left" w:pos="1680"/>
          <w:tab w:val="left" w:pos="1890"/>
          <w:tab w:val="left" w:pos="2730"/>
          <w:tab w:val="left" w:pos="3780"/>
          <w:tab w:val="left" w:pos="4200"/>
          <w:tab w:val="left" w:pos="4830"/>
        </w:tabs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联系人：</w:t>
      </w:r>
      <w:r>
        <w:rPr>
          <w:rFonts w:hint="eastAsia" w:ascii="宋体" w:hAnsi="宋体" w:eastAsia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   联系人：</w:t>
      </w:r>
    </w:p>
    <w:p w14:paraId="6A95CD3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地址：</w:t>
      </w:r>
      <w:r>
        <w:rPr>
          <w:rFonts w:hint="eastAsia" w:ascii="宋体" w:hAnsi="宋体" w:eastAsia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          地址：</w:t>
      </w:r>
    </w:p>
    <w:p w14:paraId="1C07DAF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电  话：</w:t>
      </w:r>
      <w:r>
        <w:rPr>
          <w:rFonts w:hint="eastAsia" w:ascii="宋体" w:hAnsi="宋体" w:eastAsia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      电  话：</w:t>
      </w:r>
    </w:p>
    <w:p w14:paraId="23142A6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left="5040" w:hanging="5040" w:hangingChars="2100"/>
        <w:textAlignment w:val="auto"/>
        <w:rPr>
          <w:rFonts w:hint="eastAsia" w:ascii="宋体" w:hAnsi="宋体" w:eastAsia="宋体" w:cs="宋体"/>
          <w:spacing w:val="2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开户行：                          开户行：</w:t>
      </w:r>
    </w:p>
    <w:p w14:paraId="31F6CA7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left="3960" w:hanging="3960" w:hangingChars="165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账  号：                          账  号：</w:t>
      </w:r>
    </w:p>
    <w:p w14:paraId="1B61D45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left="4620" w:hanging="4620" w:hangingChars="1650"/>
        <w:textAlignment w:val="auto"/>
        <w:rPr>
          <w:rFonts w:hint="eastAsia" w:ascii="宋体" w:hAnsi="宋体" w:eastAsia="宋体" w:cs="宋体"/>
          <w:spacing w:val="20"/>
          <w:sz w:val="24"/>
        </w:rPr>
      </w:pPr>
    </w:p>
    <w:p w14:paraId="3F559CB1">
      <w:pPr>
        <w:keepNext w:val="0"/>
        <w:keepLines w:val="0"/>
        <w:pageBreakBefore w:val="0"/>
        <w:tabs>
          <w:tab w:val="left" w:pos="709"/>
          <w:tab w:val="left" w:pos="851"/>
          <w:tab w:val="left" w:pos="4690"/>
          <w:tab w:val="left" w:pos="5529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日  期：202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年   月   日         日  期：202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年   月    日</w:t>
      </w:r>
    </w:p>
    <w:p w14:paraId="6933CC42">
      <w:pPr>
        <w:jc w:val="left"/>
        <w:rPr>
          <w:rFonts w:hint="eastAsia" w:ascii="宋体" w:hAnsi="宋体"/>
          <w:szCs w:val="21"/>
          <w:lang w:val="en-US" w:eastAsia="zh-CN"/>
        </w:rPr>
      </w:pPr>
    </w:p>
    <w:p w14:paraId="3B9FBE38">
      <w:pPr>
        <w:jc w:val="left"/>
        <w:rPr>
          <w:rFonts w:hint="eastAsia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1E21B">
    <w:pPr>
      <w:pStyle w:val="7"/>
      <w:framePr w:wrap="around" w:vAnchor="text" w:hAnchor="margin" w:xAlign="right" w:y="1"/>
    </w:pPr>
  </w:p>
  <w:p w14:paraId="37C821D2">
    <w:pPr>
      <w:pStyle w:val="7"/>
      <w:framePr w:wrap="around" w:vAnchor="text" w:hAnchor="margin" w:xAlign="right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6C6C">
    <w:pPr>
      <w:pStyle w:val="7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 w14:paraId="68A53D55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85E3E"/>
    <w:multiLevelType w:val="singleLevel"/>
    <w:tmpl w:val="53685E3E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MTM5ZmJmOGY0OGFjMzg2MTliMDMzODdkMzA0NzQifQ=="/>
  </w:docVars>
  <w:rsids>
    <w:rsidRoot w:val="6CBD19EE"/>
    <w:rsid w:val="012704F7"/>
    <w:rsid w:val="0DC97667"/>
    <w:rsid w:val="12633F46"/>
    <w:rsid w:val="1C1B0C92"/>
    <w:rsid w:val="20233AA6"/>
    <w:rsid w:val="22E960A9"/>
    <w:rsid w:val="233F5150"/>
    <w:rsid w:val="2CEE7B49"/>
    <w:rsid w:val="3C6A0C6C"/>
    <w:rsid w:val="46F852AF"/>
    <w:rsid w:val="4C3A6651"/>
    <w:rsid w:val="61596BCA"/>
    <w:rsid w:val="6A4C37CB"/>
    <w:rsid w:val="6CBD19EE"/>
    <w:rsid w:val="77C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样式 首行缩进:  2 字符"/>
    <w:basedOn w:val="1"/>
    <w:qFormat/>
    <w:uiPriority w:val="99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13">
    <w:name w:val="UserStyle_0"/>
    <w:basedOn w:val="1"/>
    <w:next w:val="14"/>
    <w:qFormat/>
    <w:uiPriority w:val="0"/>
    <w:pPr>
      <w:keepNext/>
      <w:keepLines/>
      <w:tabs>
        <w:tab w:val="left" w:pos="0"/>
      </w:tabs>
      <w:spacing w:before="280" w:after="156" w:line="377" w:lineRule="auto"/>
      <w:jc w:val="left"/>
      <w:textAlignment w:val="baseline"/>
    </w:pPr>
    <w:rPr>
      <w:rFonts w:ascii="Arial" w:hAnsi="Arial" w:eastAsia="黑体"/>
      <w:b/>
      <w:kern w:val="0"/>
      <w:szCs w:val="28"/>
    </w:rPr>
  </w:style>
  <w:style w:type="paragraph" w:customStyle="1" w:styleId="14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5">
    <w:name w:val="表格"/>
    <w:basedOn w:val="1"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1970</Words>
  <Characters>2040</Characters>
  <Lines>0</Lines>
  <Paragraphs>0</Paragraphs>
  <TotalTime>12</TotalTime>
  <ScaleCrop>false</ScaleCrop>
  <LinksUpToDate>false</LinksUpToDate>
  <CharactersWithSpaces>2425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2023-05-25T08:06:00Z</dcterms:created>
  <dc:creator>Y.</dc:creator>
  <cp:lastModifiedBy>小毅哥</cp:lastModifiedBy>
  <cp:lastPrinted>2025-09-04T09:28:11Z</cp:lastPrinted>
  <dcterms:modified xsi:type="dcterms:W3CDTF">2025-09-04T09:32:15Z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43D8B72D9E304646BCA62EEB5EB0F5CC_13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