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t>新办公场所隔断安装服务合同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甲方（采购人）：广汉市广投建材有限公司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广汉市天津路西一段38号 8楼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邮编：618300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联系人：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联系电话：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乙方（供应商）：______________________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地址：______________________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联系人：______________________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联系电话：______________________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统一社会信用代码：______________________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第一条 合同标的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1.1 服务名称：新办公场所隔断安装服务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1.2 服务内容及范围：乙方为甲方新办公场所左侧靠墙位置提供隔断安装服务，服务范围涵盖隔断安装材料的筹备（含材料采购、运输、检验等）与隔断的专业安装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bookmarkStart w:id="0" w:name="_GoBack"/>
      <w:bookmarkEnd w:id="0"/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，乙方对该项目的材料质量及安装质量全权负责，具体如下：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分隔总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面积约54平方米，共分隔为3间办公室，其中1间面积约20平方米，另外2间各约17平方米；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采用3米高铝合金架构，搭配2.5米高磨砂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玻璃隔断；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安装标准及技术要求需符合本合同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《项目清单和技术要求》的规定。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第二条 合同价款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2.1 本合同价款为固定包干价，金额为人民币______元（大写：______________________），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税率：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none"/>
          <w:lang w:val="en-US" w:eastAsia="zh-CN"/>
        </w:rPr>
        <w:t>。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该价款已包含完成本项目约定服务的全部费用，包括但不限于人工费、材料费、交通费、差旅费、税费、利润、保险费等，以及后续可能产生的服务费，甲方无需额外支付其他费用。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第三条 服务期限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3.1 乙方应在本合同签订之日起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20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天内完成全部隔断安装工作，并提交甲方验收。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3.2 若因甲方原因（如场地占用、需求变更等）导致工期延误，乙方应及时书面通知甲方，工期相应顺延，具体顺延时间由双方协商确定；若因乙方原因（如人员安排不当、材料短缺等）导致工期延误，每逾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期1天，乙方应按合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同总价款的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>0.5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% 向甲方支付违约金，逾期超过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20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天的，甲方有权解除合同并要求乙方赔偿损失。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第四条 质量要求与验收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4.1 乙方提供的材料（铝合金、磨砂玻璃等）需符合国家相关质量标准及附件《项目清单和技术要求》的规定，进场前需向甲方提供材料质量合格证明文件，甲方有权进行抽检，抽检不合格的材料乙方应立即更换，因此产生的费用及工期延误由乙方承担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4.2 安装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过程中，乙方应遵守国家及地方关于的安全、环保等规定，采取必要的安全防护措施，确保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安全，若发生安全事故，由乙方承担全部责任及损失。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 xml:space="preserve">4.3 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完工后，乙方应向甲方提交验收申请及相关验收资料（如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记录、材料合格证明等），甲方应在收到申请后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5  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个工作日内组织验收。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4.4 验收标准以本合同约定、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附件 《项目清单和技术要求》及国家相关规范为准，验收合格的，双方签署《验收合格确认书》；验收不合格的，乙方应在甲方指定的期限内整改完毕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并重新申请验收，整改费用由乙方承担，若整改后仍不合格，甲方有权解除合同，并赔偿甲方因此遭受的损失。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第五条 付款方式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5.1 本合同项下款项支付方式，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经甲方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验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收通过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并由乙方提供资金支付审批资料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后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个工作日内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向乙方支付合同总价款的100%。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default" w:ascii="仿宋" w:hAnsi="仿宋" w:eastAsia="仿宋" w:cs="仿宋_GB2312"/>
          <w:color w:val="000000"/>
          <w:kern w:val="0"/>
          <w:sz w:val="28"/>
          <w:szCs w:val="28"/>
        </w:rPr>
        <w:t xml:space="preserve">5.2 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乙方应在甲方付款前向甲方提供符合国家规定的合法有效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增值税专用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发票，否则甲方有权延迟付款，且不承担违约责任。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5.3 甲方付款账户信息：</w:t>
      </w:r>
    </w:p>
    <w:p>
      <w:pPr>
        <w:ind w:firstLine="560" w:firstLineChars="200"/>
        <w:rPr>
          <w:rFonts w:hint="default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开户银行：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560" w:firstLineChars="200"/>
        <w:rPr>
          <w:rFonts w:hint="default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账户名称：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账号：______________________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乙方收款账户信息：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开户银行：______________________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账户名称：______________________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账号：______________________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第六条 双方权利与义务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6.1 甲方权利与义务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权利：有权对乙方的材料质量、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进度、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质量进行监督检查；有权要求乙方整改不符合合同约定的事项；验收合格后，有权要求乙方提供后续服务。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义务：按合同约定向乙方提供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场地（确保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前场地具备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条件）；及时回复乙方提出的与项目相关的合理问询；按合同约定支付合同价款。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6.2 乙方权利与义务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权利：按合同约定收取合同价款；在甲方原因导致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期延误时，有权要求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期顺延。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义务：按合同约定的期限、质量要求完成安装服务；承担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过程中的安全责任及费用；接受甲方的监督检查，对甲方提出的整改要求及时响应并落实；在验收合格后，按合同约定提供后续服务；不得将本项目转包或违法分包给第三方，否则甲方有权解除合同，乙方应承担违约责任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第七条 违约责任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7.1 若甲方未按合同约定支付合同价款，每逾期1天，应按逾期支付金额的</w:t>
      </w:r>
      <w:r>
        <w:rPr>
          <w:rFonts w:ascii="仿宋" w:hAnsi="仿宋" w:eastAsia="仿宋" w:cs="仿宋_GB2312"/>
          <w:color w:val="000000"/>
          <w:kern w:val="0"/>
          <w:sz w:val="28"/>
          <w:szCs w:val="28"/>
          <w:u w:val="single"/>
        </w:rPr>
        <w:t>__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>0.5</w:t>
      </w:r>
      <w:r>
        <w:rPr>
          <w:rFonts w:ascii="仿宋" w:hAnsi="仿宋" w:eastAsia="仿宋" w:cs="仿宋_GB2312"/>
          <w:color w:val="000000"/>
          <w:kern w:val="0"/>
          <w:sz w:val="28"/>
          <w:szCs w:val="28"/>
          <w:u w:val="single"/>
        </w:rPr>
        <w:t>__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% 向乙方支付违约金；逾期超过_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>30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_天的，乙方有权暂停提供服务或解除合同，甲方应赔偿乙方因此遭受的损失。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7.2 若乙方提供的材料或安装质量不符合合同约定，导致甲方或第三方人身、财产损失的，乙方应承担全部赔偿责任。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7.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 xml:space="preserve"> 任何一方违反本合同其他约定，给对方造成损失的，应承担相应的赔偿责任（赔偿范围包括但不限于直接损失、为追索权利而支出的律师费、诉讼费等）。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第八条 合同的变更与解除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8.1 对本合同的任何变更，需经双方协商一致并签订书面补充协议，补充协议与本合同具有同等法律效力。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8.2 发生本合同约定的解除情形（如乙方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服务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期延误超期、质量整改后仍不合格、转包分包等；甲方逾期付款超期等），守约方有权书面通知违约方解除合同，合同自通知到达违约方之日起解除。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第九条 争议解决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9.1 本合同的订立、履行、解释及争议解决，均适用中华人民共和国法律。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9.2 双方在履行合同过程中发生的争议，应首先通过友好协商解决；协商不成的，任何一方均有权向甲方所在地有管辖权的人民法院提起诉讼。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第十条 其他约定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10.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 xml:space="preserve"> 本合同自双方签字盖章之日起生效。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10.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 xml:space="preserve"> 本合同一式_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>陆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_份，甲方执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肆 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份，乙方执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贰 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份，具有同等法律效力。</w:t>
      </w: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10.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 xml:space="preserve"> 本合同未尽事宜，由双方另行协商并签订补充协议。</w:t>
      </w:r>
    </w:p>
    <w:p>
      <w:pPr>
        <w:ind w:firstLine="560" w:firstLineChars="200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10.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 xml:space="preserve"> 本合同附件是本合同不可分割的组成部分，与本合同具有同等法律效力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。</w:t>
      </w:r>
    </w:p>
    <w:p>
      <w:pPr>
        <w:pStyle w:val="2"/>
      </w:pPr>
    </w:p>
    <w:p>
      <w:pPr>
        <w:ind w:firstLine="560" w:firstLineChars="20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附件：项目清单和技术要求</w:t>
      </w:r>
    </w:p>
    <w:p>
      <w:pPr>
        <w:pStyle w:val="3"/>
        <w:ind w:left="0" w:leftChars="0" w:firstLine="0" w:firstLineChars="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pStyle w:val="3"/>
        <w:ind w:firstLine="210"/>
        <w:rPr>
          <w:rFonts w:hint="eastAsia"/>
        </w:rPr>
      </w:pPr>
    </w:p>
    <w:p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甲方（盖章）：广汉市广投建材有限公司</w:t>
      </w:r>
    </w:p>
    <w:p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法定代表人 / 授权代表人（签字）：______________________</w:t>
      </w:r>
    </w:p>
    <w:p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签订日期：______年______月______日</w:t>
      </w:r>
    </w:p>
    <w:p>
      <w:pPr>
        <w:pStyle w:val="2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pStyle w:val="3"/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乙方（盖章）：______________________</w:t>
      </w:r>
    </w:p>
    <w:p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法定代表人 / 授权代表人（签字）：______________________</w:t>
      </w:r>
    </w:p>
    <w:p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签订日期：______年______月______日</w:t>
      </w:r>
    </w:p>
    <w:p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"/>
        </w:rPr>
        <w:t>附件</w:t>
      </w:r>
    </w:p>
    <w:p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  <w:t>一、装修隔断图</w:t>
      </w:r>
    </w:p>
    <w:p>
      <w:pPr>
        <w:rPr>
          <w:lang w:eastAsia="zh-CN"/>
        </w:rPr>
      </w:pPr>
    </w:p>
    <w:p>
      <w:pPr>
        <w:jc w:val="distribute"/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sectPr>
          <w:pgSz w:w="11906" w:h="16838"/>
          <w:pgMar w:top="964" w:right="1800" w:bottom="986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drawing>
          <wp:inline distT="0" distB="0" distL="114300" distR="114300">
            <wp:extent cx="5715635" cy="3843020"/>
            <wp:effectExtent l="0" t="0" r="18415" b="5080"/>
            <wp:docPr id="2" name="图片 2" descr="隔断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隔断图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</w:pPr>
    </w:p>
    <w:p>
      <w:pPr>
        <w:rPr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t>二、技术要求</w:t>
      </w:r>
    </w:p>
    <w:tbl>
      <w:tblPr>
        <w:tblStyle w:val="7"/>
        <w:tblW w:w="9445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0"/>
        <w:gridCol w:w="1350"/>
        <w:gridCol w:w="7255"/>
      </w:tblGrid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blHeader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名称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技术要求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 w:bidi="ar"/>
              </w:rPr>
              <w:t>磨砂玻璃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基础材质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：选用浮法玻璃，常用厚度 5mm-12mm；单片面积超 1.5㎡时，建议用8mm及以上厚度，保证结构稳定。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磨砂工艺：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化学磨砂需表面雾度≥90%、透光率30%-50%（透光不透影），无划痕、斑点及边缘药液腐蚀；物理喷砂需砂粒密度一致、手感细腻，且做封边防掉砂处理。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3、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安全性能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必须做钢化处理，表面应力≥90MPa，破碎后呈钝角小颗粒；需防火时选用防火磨砂玻璃，耐火极限符合设计等级（如≥0.5h）。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拼接密封：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玻璃拼接缝隙≤2mm，采用耐候性达-40℃~80℃的中性硅酮密封胶，胶缝平整无气泡、开裂，防渗水积灰。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铝合金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型材材质：用6063-T5或6061-T6铝合金，主框架壁厚1.0mm厚10mm、承重部件≥1.5mm；表面氧化膜厚度≥10μm或粉末喷涂（膜厚50-80μm），耐盐雾测试≥48小时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结构稳定性：框架垂直度偏差≤1mm/m、水平度偏差≤0.5mm/m，无晃动；与墙地连接用直径≥8mm 膨胀螺栓或专用连接件，固定点间距≤600mm，每平方米承重≥50kg。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3、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配件要求：密封条用三元乙丙（EPDM）材质，弹性好、耐老化，密封后无漏风漏光；五金件（合页、锁具）为不锈钢或镀锌材质，承重≥30kg，开启灵活无卡顿。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安装精度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玻璃与铝合金框架配合间隙≤1.5mm，无挤压变形；开启式门扇与门框单侧缝隙≤2mm，关闭后密封严实。</w:t>
            </w:r>
          </w:p>
        </w:tc>
      </w:tr>
    </w:tbl>
    <w:p>
      <w:pPr>
        <w:rPr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59"/>
    <w:rsid w:val="00333059"/>
    <w:rsid w:val="00485871"/>
    <w:rsid w:val="004B65E0"/>
    <w:rsid w:val="00861A23"/>
    <w:rsid w:val="00D15C76"/>
    <w:rsid w:val="10E635A9"/>
    <w:rsid w:val="11D446E1"/>
    <w:rsid w:val="2C9B473E"/>
    <w:rsid w:val="32FD0FF1"/>
    <w:rsid w:val="4B6D3E23"/>
    <w:rsid w:val="4E167F6F"/>
    <w:rsid w:val="5E8F542F"/>
    <w:rsid w:val="636F6D4F"/>
    <w:rsid w:val="63B14269"/>
    <w:rsid w:val="7E82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0"/>
    <w:pPr>
      <w:ind w:left="100"/>
    </w:pPr>
    <w:rPr>
      <w:rFonts w:ascii="宋体" w:hAnsi="宋体"/>
      <w:szCs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 字符"/>
    <w:basedOn w:val="8"/>
    <w:link w:val="2"/>
    <w:uiPriority w:val="0"/>
    <w:rPr>
      <w:rFonts w:ascii="宋体" w:hAnsi="宋体" w:eastAsiaTheme="minorEastAsia" w:cstheme="min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2337</Characters>
  <Lines>19</Lines>
  <Paragraphs>5</Paragraphs>
  <TotalTime>173</TotalTime>
  <ScaleCrop>false</ScaleCrop>
  <LinksUpToDate>false</LinksUpToDate>
  <CharactersWithSpaces>2742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2025-10-09T09:46:00Z</dcterms:created>
  <dc:creator>admin</dc:creator>
  <cp:lastModifiedBy>Alin</cp:lastModifiedBy>
  <cp:lastPrinted>2025-10-10T00:56:00Z</cp:lastPrinted>
  <dcterms:modified xsi:type="dcterms:W3CDTF">2025-10-10T06:13:38Z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