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F3A62">
      <w:pPr>
        <w:pStyle w:val="4"/>
        <w:jc w:val="center"/>
        <w:rPr>
          <w:rFonts w:hint="eastAsia" w:ascii="宋体" w:hAnsi="宋体" w:cs="宋体"/>
          <w:sz w:val="36"/>
          <w:szCs w:val="36"/>
        </w:rPr>
      </w:pPr>
      <w:bookmarkStart w:id="0" w:name="_Toc517447495"/>
      <w:r>
        <w:rPr>
          <w:rFonts w:hint="eastAsia" w:ascii="宋体" w:hAnsi="宋体" w:cs="宋体"/>
          <w:sz w:val="36"/>
          <w:szCs w:val="36"/>
        </w:rPr>
        <w:t>第八章  采购合同</w:t>
      </w:r>
      <w:bookmarkEnd w:id="0"/>
      <w:bookmarkStart w:id="56" w:name="_GoBack"/>
      <w:bookmarkEnd w:id="56"/>
    </w:p>
    <w:p w14:paraId="05207E9F">
      <w:pPr>
        <w:pStyle w:val="11"/>
        <w:keepNext w:val="0"/>
        <w:keepLines w:val="0"/>
        <w:pageBreakBefore w:val="0"/>
        <w:kinsoku/>
        <w:wordWrap/>
        <w:overflowPunct/>
        <w:topLinePunct w:val="0"/>
        <w:autoSpaceDE/>
        <w:autoSpaceDN/>
        <w:bidi w:val="0"/>
        <w:spacing w:line="360" w:lineRule="auto"/>
        <w:ind w:firstLine="480"/>
        <w:rPr>
          <w:rFonts w:hint="eastAsia" w:ascii="宋体" w:hAnsi="宋体"/>
        </w:rPr>
      </w:pPr>
      <w:bookmarkStart w:id="1" w:name="_Hlt101846155"/>
      <w:bookmarkEnd w:id="1"/>
      <w:bookmarkStart w:id="2" w:name="_Toc350864527"/>
      <w:bookmarkStart w:id="3" w:name="_Toc349810624"/>
      <w:r>
        <w:rPr>
          <w:rFonts w:hint="eastAsia" w:ascii="宋体" w:hAnsi="宋体"/>
        </w:rPr>
        <w:t xml:space="preserve">合同编号：XXX                                         </w:t>
      </w:r>
    </w:p>
    <w:p w14:paraId="39F9263E">
      <w:pPr>
        <w:pStyle w:val="11"/>
        <w:keepNext w:val="0"/>
        <w:keepLines w:val="0"/>
        <w:pageBreakBefore w:val="0"/>
        <w:kinsoku/>
        <w:wordWrap/>
        <w:overflowPunct/>
        <w:topLinePunct w:val="0"/>
        <w:autoSpaceDE/>
        <w:autoSpaceDN/>
        <w:bidi w:val="0"/>
        <w:spacing w:line="360" w:lineRule="auto"/>
        <w:ind w:firstLine="480"/>
        <w:rPr>
          <w:rFonts w:hint="eastAsia" w:ascii="宋体" w:hAnsi="宋体"/>
        </w:rPr>
      </w:pPr>
      <w:r>
        <w:rPr>
          <w:rFonts w:hint="eastAsia" w:ascii="宋体" w:hAnsi="宋体"/>
        </w:rPr>
        <w:t xml:space="preserve">签订地点：XXX                                                                                  </w:t>
      </w:r>
    </w:p>
    <w:p w14:paraId="3BF7621B">
      <w:pPr>
        <w:pStyle w:val="11"/>
        <w:keepNext w:val="0"/>
        <w:keepLines w:val="0"/>
        <w:pageBreakBefore w:val="0"/>
        <w:kinsoku/>
        <w:wordWrap/>
        <w:overflowPunct/>
        <w:topLinePunct w:val="0"/>
        <w:autoSpaceDE/>
        <w:autoSpaceDN/>
        <w:bidi w:val="0"/>
        <w:spacing w:line="360" w:lineRule="auto"/>
        <w:ind w:firstLine="480"/>
        <w:rPr>
          <w:rFonts w:hint="eastAsia" w:ascii="宋体" w:hAnsi="宋体"/>
        </w:rPr>
      </w:pPr>
      <w:r>
        <w:rPr>
          <w:rFonts w:hint="eastAsia" w:ascii="宋体" w:hAnsi="宋体"/>
        </w:rPr>
        <w:t xml:space="preserve">采购人（甲方）：XXX                                          </w:t>
      </w:r>
    </w:p>
    <w:p w14:paraId="1A8C9818">
      <w:pPr>
        <w:pStyle w:val="11"/>
        <w:keepNext w:val="0"/>
        <w:keepLines w:val="0"/>
        <w:pageBreakBefore w:val="0"/>
        <w:kinsoku/>
        <w:wordWrap/>
        <w:overflowPunct/>
        <w:topLinePunct w:val="0"/>
        <w:autoSpaceDE/>
        <w:autoSpaceDN/>
        <w:bidi w:val="0"/>
        <w:spacing w:line="360" w:lineRule="auto"/>
        <w:ind w:firstLine="480"/>
        <w:rPr>
          <w:rFonts w:hint="eastAsia" w:ascii="宋体" w:hAnsi="宋体"/>
        </w:rPr>
      </w:pPr>
      <w:r>
        <w:rPr>
          <w:rFonts w:hint="eastAsia" w:ascii="宋体" w:hAnsi="宋体"/>
        </w:rPr>
        <w:t xml:space="preserve">供应商（乙方）：XXX                                          </w:t>
      </w:r>
      <w:r>
        <w:rPr>
          <w:rFonts w:hint="eastAsia" w:ascii="宋体" w:hAnsi="宋体"/>
          <w:lang w:bidi="ar"/>
        </w:rPr>
        <w:t xml:space="preserve">                               </w:t>
      </w:r>
    </w:p>
    <w:p w14:paraId="10887FB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cs="宋体"/>
          <w:kern w:val="2"/>
          <w:sz w:val="24"/>
          <w:szCs w:val="24"/>
          <w:lang w:bidi="ar"/>
        </w:rPr>
      </w:pPr>
      <w:r>
        <w:rPr>
          <w:rFonts w:hint="eastAsia" w:cs="宋体"/>
          <w:kern w:val="2"/>
          <w:sz w:val="24"/>
          <w:szCs w:val="24"/>
          <w:lang w:bidi="ar"/>
        </w:rPr>
        <w:t>根据《中华人民共和国民法典》及</w:t>
      </w:r>
      <w:r>
        <w:rPr>
          <w:rFonts w:hint="eastAsia" w:cs="宋体"/>
          <w:kern w:val="2"/>
          <w:sz w:val="24"/>
          <w:szCs w:val="24"/>
          <w:u w:val="single"/>
          <w:lang w:bidi="ar"/>
        </w:rPr>
        <w:t xml:space="preserve">            </w:t>
      </w:r>
      <w:r>
        <w:rPr>
          <w:rFonts w:hint="eastAsia" w:cs="宋体"/>
          <w:kern w:val="2"/>
          <w:sz w:val="24"/>
          <w:szCs w:val="24"/>
          <w:lang w:bidi="ar"/>
        </w:rPr>
        <w:t>采购项目的《采购文件》、乙方的《响应文件》及《成交通知书》，甲、乙双方同意签订本合同。详细技术说明及其他有关合同项目的特定信息由合同附件予以说明，合同附件及本项目的采购文件、响应文件、成交通知书等均为本合同不可分割的部分。双方同意共同遵守如下条款：</w:t>
      </w:r>
    </w:p>
    <w:p w14:paraId="6BF3414E">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第一条 项目基本情况</w:t>
      </w:r>
    </w:p>
    <w:p w14:paraId="1996D68B">
      <w:pPr>
        <w:keepNext w:val="0"/>
        <w:keepLines w:val="0"/>
        <w:pageBreakBefore w:val="0"/>
        <w:kinsoku/>
        <w:wordWrap/>
        <w:overflowPunct/>
        <w:topLinePunct w:val="0"/>
        <w:autoSpaceDE/>
        <w:autoSpaceDN/>
        <w:bidi w:val="0"/>
        <w:snapToGrid w:val="0"/>
        <w:spacing w:line="360" w:lineRule="auto"/>
        <w:ind w:left="0" w:leftChars="0" w:firstLine="480" w:firstLineChars="200"/>
        <w:rPr>
          <w:rFonts w:hint="eastAsia" w:ascii="宋体" w:hAnsi="宋体" w:cs="宋体"/>
          <w:b w:val="0"/>
          <w:bCs/>
          <w:sz w:val="24"/>
          <w:lang w:val="en-US" w:eastAsia="zh-CN" w:bidi="ar"/>
        </w:rPr>
      </w:pPr>
      <w:r>
        <w:rPr>
          <w:rFonts w:hint="eastAsia" w:ascii="宋体" w:hAnsi="宋体" w:cs="宋体"/>
          <w:b w:val="0"/>
          <w:bCs/>
          <w:sz w:val="24"/>
          <w:lang w:val="en-US" w:eastAsia="zh-CN" w:bidi="ar"/>
        </w:rPr>
        <w:t>1、项目概况：项目总用地面积约为57260.20平方米（约85.89亩）。本次设计范围总建筑面积48656.73平方米，包括工业建筑面积48097.63平方米，其中新建11栋，为1-11#厂房，装饰装修2栋，为12-13#车间，配套设施建筑面积95.44平方米。其中地上建筑面积为48193.07平方米。容积率为1.30，建筑密度47.63%。机动车停车位73辆。</w:t>
      </w:r>
    </w:p>
    <w:p w14:paraId="070C93B3">
      <w:pPr>
        <w:keepNext w:val="0"/>
        <w:keepLines w:val="0"/>
        <w:pageBreakBefore w:val="0"/>
        <w:kinsoku/>
        <w:wordWrap/>
        <w:overflowPunct/>
        <w:topLinePunct w:val="0"/>
        <w:autoSpaceDE/>
        <w:autoSpaceDN/>
        <w:bidi w:val="0"/>
        <w:snapToGrid w:val="0"/>
        <w:spacing w:line="360" w:lineRule="auto"/>
        <w:ind w:left="0" w:leftChars="0" w:firstLine="480" w:firstLineChars="200"/>
        <w:rPr>
          <w:rFonts w:hint="eastAsia" w:ascii="宋体" w:hAnsi="宋体" w:cs="宋体"/>
          <w:b/>
          <w:sz w:val="24"/>
          <w:lang w:val="en-US" w:eastAsia="zh-CN" w:bidi="ar"/>
        </w:rPr>
      </w:pPr>
      <w:r>
        <w:rPr>
          <w:rFonts w:hint="eastAsia" w:ascii="宋体" w:hAnsi="宋体" w:cs="宋体"/>
          <w:b w:val="0"/>
          <w:bCs/>
          <w:sz w:val="24"/>
          <w:lang w:val="en-US" w:eastAsia="zh-CN" w:bidi="ar"/>
        </w:rPr>
        <w:t>2、项目地点：广汉市。</w:t>
      </w:r>
    </w:p>
    <w:p w14:paraId="1F5B288F">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第二条 合同期限</w:t>
      </w:r>
    </w:p>
    <w:p w14:paraId="19EB18CE">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cs="宋体"/>
          <w:b w:val="0"/>
          <w:bCs/>
          <w:sz w:val="24"/>
          <w:lang w:val="en-US" w:eastAsia="zh-CN" w:bidi="ar"/>
        </w:rPr>
      </w:pPr>
      <w:bookmarkStart w:id="4" w:name="_Toc282696226"/>
      <w:bookmarkStart w:id="5" w:name="_Toc251768862"/>
      <w:bookmarkStart w:id="6" w:name="_Toc185395249"/>
      <w:bookmarkStart w:id="7" w:name="_Toc232492928"/>
      <w:bookmarkStart w:id="8" w:name="_Toc241833903"/>
      <w:bookmarkStart w:id="9" w:name="_Toc238984975"/>
      <w:bookmarkStart w:id="10" w:name="_Toc212019594"/>
      <w:bookmarkStart w:id="11" w:name="_Toc286993786"/>
      <w:bookmarkStart w:id="12" w:name="_Toc239233914"/>
      <w:bookmarkStart w:id="13" w:name="_Toc239568418"/>
      <w:bookmarkStart w:id="14" w:name="_Toc225244852"/>
      <w:bookmarkStart w:id="15" w:name="_Toc225654644"/>
      <w:bookmarkStart w:id="16" w:name="_Toc211911348"/>
      <w:bookmarkStart w:id="17" w:name="_Toc211854449"/>
      <w:bookmarkStart w:id="18" w:name="_Toc237145406"/>
      <w:bookmarkStart w:id="19" w:name="_Toc247334841"/>
      <w:bookmarkStart w:id="20" w:name="_Toc283019214"/>
      <w:bookmarkStart w:id="21" w:name="_Toc225670751"/>
      <w:r>
        <w:rPr>
          <w:rFonts w:hint="eastAsia" w:ascii="宋体" w:hAnsi="宋体" w:cs="宋体"/>
          <w:b w:val="0"/>
          <w:bCs/>
          <w:sz w:val="24"/>
          <w:lang w:val="en-US" w:eastAsia="zh-CN" w:bidi="ar"/>
        </w:rPr>
        <w:t>签订本合同后，甲方提供基础资料后</w:t>
      </w:r>
      <w:r>
        <w:rPr>
          <w:rFonts w:hint="eastAsia" w:ascii="宋体" w:hAnsi="宋体" w:cs="宋体"/>
          <w:b w:val="0"/>
          <w:bCs/>
          <w:sz w:val="24"/>
          <w:u w:val="single"/>
          <w:lang w:val="en-US" w:eastAsia="zh-CN" w:bidi="ar"/>
        </w:rPr>
        <w:t xml:space="preserve"> 20 </w:t>
      </w:r>
      <w:r>
        <w:rPr>
          <w:rFonts w:hint="eastAsia" w:ascii="宋体" w:hAnsi="宋体" w:cs="宋体"/>
          <w:b w:val="0"/>
          <w:bCs/>
          <w:sz w:val="24"/>
          <w:lang w:val="en-US" w:eastAsia="zh-CN" w:bidi="ar"/>
        </w:rPr>
        <w:t>日历天内完成</w:t>
      </w:r>
      <w:r>
        <w:rPr>
          <w:rFonts w:hint="eastAsia" w:ascii="宋体" w:hAnsi="宋体" w:cs="宋体"/>
          <w:b w:val="0"/>
          <w:bCs/>
          <w:sz w:val="24"/>
          <w:u w:val="single"/>
          <w:lang w:val="en-US" w:eastAsia="zh-CN" w:bidi="ar"/>
        </w:rPr>
        <w:t xml:space="preserve"> 水土保持方案报告表 </w:t>
      </w:r>
      <w:r>
        <w:rPr>
          <w:rFonts w:hint="eastAsia" w:ascii="宋体" w:hAnsi="宋体" w:cs="宋体"/>
          <w:b w:val="0"/>
          <w:bCs/>
          <w:sz w:val="24"/>
          <w:lang w:val="en-US" w:eastAsia="zh-CN" w:bidi="ar"/>
        </w:rPr>
        <w:t>编制工作，并协助甲方取得相应批复文件。</w:t>
      </w:r>
    </w:p>
    <w:p w14:paraId="79789FFA">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第三条 服务内容（技术指标和服务需求）</w:t>
      </w:r>
    </w:p>
    <w:p w14:paraId="2391A16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bidi="ar"/>
        </w:rPr>
        <w:t>1、</w:t>
      </w:r>
      <w:r>
        <w:rPr>
          <w:rFonts w:hint="eastAsia" w:ascii="宋体" w:hAnsi="宋体" w:cs="宋体"/>
          <w:sz w:val="24"/>
          <w:lang w:eastAsia="zh-CN" w:bidi="ar"/>
        </w:rPr>
        <w:t>水土保持方案内容：</w:t>
      </w:r>
    </w:p>
    <w:p w14:paraId="48396FF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（1）按相关要求编制、取得相应批复文件和提供后续服务。</w:t>
      </w:r>
    </w:p>
    <w:p w14:paraId="3B58A0D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（2）应具有真实性、准确性、易实施的特点，能为后期决策提供准确信息。</w:t>
      </w:r>
    </w:p>
    <w:p w14:paraId="2A72DD4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（3）完成的成果文件必须满足国家现行的方针、政策、法律、法规，符合工程建设强制性条文的要求；同时完成的成果文件应达到相关规定的深度，假如不能满足要求，由乙方负责完善至符合要求为止。</w:t>
      </w:r>
    </w:p>
    <w:p w14:paraId="39A0A74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（4）提交项目的成果文件必须符合相关规定，通过行政主管部门审批并取得批复文件。</w:t>
      </w:r>
    </w:p>
    <w:p w14:paraId="7519915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ascii="宋体" w:hAnsi="宋体" w:cs="宋体"/>
          <w:sz w:val="24"/>
          <w:lang w:eastAsia="zh-CN" w:bidi="ar"/>
        </w:rPr>
        <w:t>（5）项目完成后，提交正式成果文件。</w:t>
      </w:r>
    </w:p>
    <w:p w14:paraId="7B20CD24">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kern w:val="2"/>
          <w:sz w:val="24"/>
          <w:szCs w:val="24"/>
          <w:lang w:val="en-US" w:eastAsia="zh-CN" w:bidi="ar"/>
        </w:rPr>
      </w:pPr>
      <w:r>
        <w:rPr>
          <w:rFonts w:hint="eastAsia" w:ascii="宋体" w:hAnsi="宋体" w:cs="宋体"/>
          <w:sz w:val="24"/>
          <w:lang w:val="en-US" w:eastAsia="zh-CN" w:bidi="ar"/>
        </w:rPr>
        <w:t>2、</w:t>
      </w:r>
      <w:r>
        <w:rPr>
          <w:rFonts w:hint="eastAsia" w:ascii="宋体" w:hAnsi="宋体" w:eastAsia="宋体" w:cs="宋体"/>
          <w:bCs/>
          <w:kern w:val="2"/>
          <w:sz w:val="24"/>
          <w:szCs w:val="24"/>
          <w:lang w:val="en-US" w:eastAsia="zh-CN" w:bidi="ar"/>
        </w:rPr>
        <w:t>成果及要求</w:t>
      </w:r>
    </w:p>
    <w:p w14:paraId="04412B7A">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①提交的报告应符合国家技术规范、标准、规程及业主提出的要求，并通过相关行业主管部门的审查，取得具有审批权限的行政主管部门关于本项目水土保持方案编制报告的批复意见。</w:t>
      </w:r>
    </w:p>
    <w:p w14:paraId="08A4C158">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②按照《开发建设项目水土保持技术规范》《开发建设项目水土保持方案编报审批管理规定》的要求，根据项目环境的要求和结合线路布置、各单项施工工艺等特点，在预测新增水土流失及其危害的基础上，坚持“预防为主、全面规划、综合防治、因地制宜、加强管理、注重效益”的水土保持方针，结合本项目的特点进行编制。</w:t>
      </w:r>
    </w:p>
    <w:p w14:paraId="144665FE">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3</w:t>
      </w:r>
      <w:r>
        <w:rPr>
          <w:rFonts w:hint="eastAsia" w:ascii="宋体" w:hAnsi="宋体" w:eastAsia="宋体" w:cs="宋体"/>
          <w:bCs/>
          <w:kern w:val="2"/>
          <w:sz w:val="24"/>
          <w:szCs w:val="24"/>
          <w:lang w:val="en-US" w:eastAsia="zh-CN" w:bidi="ar"/>
        </w:rPr>
        <w:t>、成果内容</w:t>
      </w:r>
    </w:p>
    <w:p w14:paraId="6B14AF75">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①完成项目工程水土保持方案编制，并取得该项目的水土保持方案的批复。</w:t>
      </w:r>
    </w:p>
    <w:p w14:paraId="2DD2698D">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②需成果资料纸质版6份，电子文档1份。</w:t>
      </w:r>
    </w:p>
    <w:p w14:paraId="0D1C5ADE">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第四条 服务费用及付款条件（进度和方式）</w:t>
      </w:r>
    </w:p>
    <w:p w14:paraId="317074E7">
      <w:pPr>
        <w:keepNext w:val="0"/>
        <w:keepLines w:val="0"/>
        <w:pageBreakBefore w:val="0"/>
        <w:numPr>
          <w:ilvl w:val="0"/>
          <w:numId w:val="2"/>
        </w:numPr>
        <w:kinsoku/>
        <w:wordWrap/>
        <w:overflowPunct/>
        <w:topLinePunct w:val="0"/>
        <w:autoSpaceDE/>
        <w:autoSpaceDN/>
        <w:bidi w:val="0"/>
        <w:snapToGrid w:val="0"/>
        <w:spacing w:line="360" w:lineRule="auto"/>
        <w:ind w:left="0" w:firstLine="567"/>
        <w:rPr>
          <w:rFonts w:hint="eastAsia" w:ascii="宋体" w:hAnsi="宋体" w:cs="宋体"/>
          <w:b/>
          <w:sz w:val="24"/>
        </w:rPr>
      </w:pPr>
      <w:r>
        <w:rPr>
          <w:rFonts w:hint="eastAsia" w:ascii="宋体" w:hAnsi="宋体" w:cs="宋体"/>
          <w:b/>
          <w:sz w:val="24"/>
          <w:lang w:bidi="ar"/>
        </w:rPr>
        <w:t>本项目服务费:</w:t>
      </w:r>
    </w:p>
    <w:p w14:paraId="53C3189D">
      <w:pPr>
        <w:keepNext w:val="0"/>
        <w:keepLines w:val="0"/>
        <w:pageBreakBefore w:val="0"/>
        <w:numPr>
          <w:ilvl w:val="0"/>
          <w:numId w:val="0"/>
        </w:numPr>
        <w:kinsoku/>
        <w:wordWrap/>
        <w:overflowPunct/>
        <w:topLinePunct w:val="0"/>
        <w:autoSpaceDE/>
        <w:autoSpaceDN/>
        <w:bidi w:val="0"/>
        <w:snapToGrid w:val="0"/>
        <w:spacing w:line="360" w:lineRule="auto"/>
        <w:ind w:firstLine="480" w:firstLineChars="200"/>
        <w:rPr>
          <w:rFonts w:hint="eastAsia" w:ascii="宋体" w:hAnsi="宋体" w:eastAsia="宋体" w:cs="宋体"/>
          <w:sz w:val="24"/>
          <w:lang w:eastAsia="zh-CN" w:bidi="ar"/>
        </w:rPr>
      </w:pPr>
      <w:r>
        <w:rPr>
          <w:rFonts w:hint="eastAsia" w:ascii="宋体" w:hAnsi="宋体" w:cs="宋体"/>
          <w:bCs/>
          <w:kern w:val="2"/>
          <w:sz w:val="24"/>
          <w:szCs w:val="24"/>
          <w:lang w:val="en-US" w:eastAsia="zh-CN" w:bidi="ar"/>
        </w:rPr>
        <w:t>水土保持方案编制：</w:t>
      </w:r>
      <w:r>
        <w:rPr>
          <w:rFonts w:hint="eastAsia" w:ascii="宋体" w:hAnsi="宋体" w:cs="宋体"/>
          <w:sz w:val="24"/>
          <w:lang w:bidi="ar"/>
        </w:rPr>
        <w:t>XX元；（大写：</w:t>
      </w:r>
      <w:r>
        <w:rPr>
          <w:rFonts w:hint="eastAsia" w:ascii="宋体" w:hAnsi="宋体" w:cs="宋体"/>
          <w:sz w:val="24"/>
          <w:lang w:val="en-US" w:eastAsia="zh-CN" w:bidi="ar"/>
        </w:rPr>
        <w:t xml:space="preserve">        </w:t>
      </w:r>
      <w:r>
        <w:rPr>
          <w:rFonts w:hint="eastAsia" w:ascii="宋体" w:hAnsi="宋体" w:cs="宋体"/>
          <w:sz w:val="24"/>
          <w:lang w:bidi="ar"/>
        </w:rPr>
        <w:t>），税率：    ，不含税金额</w:t>
      </w:r>
      <w:r>
        <w:rPr>
          <w:rFonts w:hint="eastAsia" w:ascii="宋体" w:hAnsi="宋体" w:cs="宋体"/>
          <w:sz w:val="24"/>
          <w:lang w:val="en-US" w:eastAsia="zh-CN" w:bidi="ar"/>
        </w:rPr>
        <w:t xml:space="preserve">    </w:t>
      </w:r>
      <w:r>
        <w:rPr>
          <w:rFonts w:hint="eastAsia" w:ascii="宋体" w:hAnsi="宋体" w:cs="宋体"/>
          <w:sz w:val="24"/>
          <w:lang w:bidi="ar"/>
        </w:rPr>
        <w:t xml:space="preserve">         元。</w:t>
      </w:r>
      <w:r>
        <w:rPr>
          <w:rFonts w:hint="eastAsia" w:ascii="宋体" w:hAnsi="宋体" w:cs="宋体"/>
          <w:sz w:val="24"/>
          <w:lang w:eastAsia="zh-CN" w:bidi="ar"/>
        </w:rPr>
        <w:t>（</w:t>
      </w:r>
      <w:r>
        <w:rPr>
          <w:rFonts w:hint="eastAsia" w:ascii="宋体" w:hAnsi="宋体" w:cs="宋体"/>
          <w:b/>
          <w:bCs/>
          <w:sz w:val="24"/>
          <w:lang w:bidi="ar"/>
        </w:rPr>
        <w:t>税率*%，增值税税率根据国家现行政策执行,只调整税金额度,不调整不含税价款</w:t>
      </w:r>
      <w:r>
        <w:rPr>
          <w:rFonts w:hint="eastAsia" w:ascii="宋体" w:hAnsi="宋体" w:cs="宋体"/>
          <w:sz w:val="24"/>
          <w:lang w:eastAsia="zh-CN" w:bidi="ar"/>
        </w:rPr>
        <w:t>）</w:t>
      </w:r>
    </w:p>
    <w:p w14:paraId="26A3F83F">
      <w:pPr>
        <w:keepNext w:val="0"/>
        <w:keepLines w:val="0"/>
        <w:pageBreakBefore w:val="0"/>
        <w:kinsoku/>
        <w:wordWrap/>
        <w:overflowPunct/>
        <w:topLinePunct w:val="0"/>
        <w:autoSpaceDE/>
        <w:autoSpaceDN/>
        <w:bidi w:val="0"/>
        <w:snapToGrid w:val="0"/>
        <w:spacing w:line="360" w:lineRule="auto"/>
        <w:ind w:firstLine="482" w:firstLineChars="200"/>
        <w:rPr>
          <w:rFonts w:hint="eastAsia" w:ascii="宋体" w:hAnsi="宋体" w:cs="宋体"/>
          <w:b/>
          <w:bCs/>
          <w:sz w:val="24"/>
          <w:lang w:bidi="ar"/>
        </w:rPr>
      </w:pPr>
      <w:r>
        <w:rPr>
          <w:rFonts w:hint="eastAsia" w:ascii="宋体" w:hAnsi="宋体" w:cs="宋体"/>
          <w:b/>
          <w:bCs/>
          <w:sz w:val="24"/>
          <w:lang w:eastAsia="zh-CN" w:bidi="ar"/>
        </w:rPr>
        <w:t>以上</w:t>
      </w:r>
      <w:r>
        <w:rPr>
          <w:rFonts w:hint="eastAsia" w:ascii="宋体" w:hAnsi="宋体" w:cs="宋体"/>
          <w:b/>
          <w:bCs/>
          <w:sz w:val="24"/>
          <w:lang w:bidi="ar"/>
        </w:rPr>
        <w:t>费用为包干费用，已包括但不限于编制费、评审费、会务费、监测费、人工费、材料费、交通费、差旅费、税费、利润等乙方为完成本合同项下约定服务的所有费用，以及后续服务费。</w:t>
      </w:r>
    </w:p>
    <w:p w14:paraId="494E88B1">
      <w:pPr>
        <w:keepNext w:val="0"/>
        <w:keepLines w:val="0"/>
        <w:pageBreakBefore w:val="0"/>
        <w:numPr>
          <w:ilvl w:val="0"/>
          <w:numId w:val="2"/>
        </w:numPr>
        <w:tabs>
          <w:tab w:val="left" w:pos="780"/>
          <w:tab w:val="clear" w:pos="0"/>
        </w:tabs>
        <w:kinsoku/>
        <w:wordWrap/>
        <w:overflowPunct/>
        <w:topLinePunct w:val="0"/>
        <w:autoSpaceDE/>
        <w:autoSpaceDN/>
        <w:bidi w:val="0"/>
        <w:snapToGrid w:val="0"/>
        <w:spacing w:line="360" w:lineRule="auto"/>
        <w:ind w:left="0" w:firstLine="567"/>
        <w:rPr>
          <w:rFonts w:hint="eastAsia" w:ascii="宋体" w:hAnsi="宋体" w:cs="宋体"/>
          <w:b/>
          <w:sz w:val="24"/>
        </w:rPr>
      </w:pPr>
      <w:r>
        <w:rPr>
          <w:rFonts w:hint="eastAsia" w:ascii="宋体" w:hAnsi="宋体" w:cs="宋体"/>
          <w:b/>
          <w:sz w:val="24"/>
          <w:lang w:bidi="ar"/>
        </w:rPr>
        <w:t>付款方式:</w:t>
      </w:r>
    </w:p>
    <w:p w14:paraId="3DEE10E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eastAsia" w:ascii="宋体" w:hAnsi="宋体" w:cs="宋体"/>
          <w:bCs/>
          <w:sz w:val="24"/>
          <w:lang w:val="en-US" w:eastAsia="zh-CN" w:bidi="ar"/>
        </w:rPr>
        <w:t>1、提交水土保持方案报告表并协助甲方取得相应批复后15个工作日内</w:t>
      </w:r>
      <w:r>
        <w:rPr>
          <w:rFonts w:hint="default" w:ascii="宋体" w:hAnsi="宋体" w:eastAsia="宋体" w:cs="宋体"/>
          <w:bCs/>
          <w:sz w:val="24"/>
          <w:lang w:val="en-US" w:eastAsia="zh-CN" w:bidi="ar"/>
        </w:rPr>
        <w:t>一次性</w:t>
      </w:r>
      <w:r>
        <w:rPr>
          <w:rFonts w:hint="eastAsia" w:ascii="宋体" w:hAnsi="宋体" w:cs="宋体"/>
          <w:bCs/>
          <w:sz w:val="24"/>
          <w:lang w:val="en-US" w:eastAsia="zh-CN" w:bidi="ar"/>
        </w:rPr>
        <w:t>支付水土保持方案服务费</w:t>
      </w:r>
      <w:r>
        <w:rPr>
          <w:rFonts w:hint="default" w:ascii="宋体" w:hAnsi="宋体" w:eastAsia="宋体" w:cs="宋体"/>
          <w:bCs/>
          <w:sz w:val="24"/>
          <w:lang w:val="en-US" w:eastAsia="zh-CN" w:bidi="ar"/>
        </w:rPr>
        <w:t>。</w:t>
      </w:r>
    </w:p>
    <w:p w14:paraId="6E80CA7F">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default" w:ascii="宋体" w:hAnsi="宋体" w:eastAsia="宋体" w:cs="宋体"/>
          <w:bCs/>
          <w:sz w:val="24"/>
          <w:lang w:val="en-US" w:eastAsia="zh-CN" w:bidi="ar"/>
        </w:rPr>
        <w:t>2</w:t>
      </w:r>
      <w:r>
        <w:rPr>
          <w:rFonts w:hint="eastAsia" w:ascii="宋体" w:hAnsi="宋体" w:cs="宋体"/>
          <w:bCs/>
          <w:sz w:val="24"/>
          <w:lang w:val="en-US" w:eastAsia="zh-CN" w:bidi="ar"/>
        </w:rPr>
        <w:t>、付款前，成交供应商需向采购人出具等额合法有效的增值税专用发票。若因成交供应商原因未及时提供发票或提供发票不合格，采购人支付时间顺延，且不承担迟延支付的违约责任</w:t>
      </w:r>
      <w:r>
        <w:rPr>
          <w:rFonts w:hint="default" w:ascii="宋体" w:hAnsi="宋体" w:eastAsia="宋体" w:cs="宋体"/>
          <w:bCs/>
          <w:sz w:val="24"/>
          <w:lang w:val="en-US" w:eastAsia="zh-CN" w:bidi="ar"/>
        </w:rPr>
        <w:t>。</w:t>
      </w:r>
    </w:p>
    <w:p w14:paraId="2B59E5EC">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eastAsia" w:ascii="宋体" w:hAnsi="宋体" w:cs="宋体"/>
          <w:bCs/>
          <w:sz w:val="24"/>
          <w:lang w:val="en-US" w:eastAsia="zh-CN" w:bidi="ar"/>
        </w:rPr>
        <w:t>3、</w:t>
      </w:r>
      <w:r>
        <w:rPr>
          <w:rFonts w:hint="default" w:ascii="宋体" w:hAnsi="宋体" w:eastAsia="宋体" w:cs="宋体"/>
          <w:bCs/>
          <w:sz w:val="24"/>
          <w:lang w:val="en-US" w:eastAsia="zh-CN" w:bidi="ar"/>
        </w:rPr>
        <w:t>乙方指定收款银行账户如下：</w:t>
      </w:r>
    </w:p>
    <w:p w14:paraId="3D11133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default" w:ascii="宋体" w:hAnsi="宋体" w:eastAsia="宋体" w:cs="宋体"/>
          <w:bCs/>
          <w:sz w:val="24"/>
          <w:lang w:val="en-US" w:eastAsia="zh-CN" w:bidi="ar"/>
        </w:rPr>
        <w:t>户名：</w:t>
      </w:r>
    </w:p>
    <w:p w14:paraId="248A605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default" w:ascii="宋体" w:hAnsi="宋体" w:eastAsia="宋体" w:cs="宋体"/>
          <w:bCs/>
          <w:sz w:val="24"/>
          <w:lang w:val="en-US" w:eastAsia="zh-CN" w:bidi="ar"/>
        </w:rPr>
        <w:t>账号：</w:t>
      </w:r>
    </w:p>
    <w:p w14:paraId="0FCD1F1A">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lang w:val="en-US" w:eastAsia="zh-CN" w:bidi="ar"/>
        </w:rPr>
      </w:pPr>
      <w:r>
        <w:rPr>
          <w:rFonts w:hint="default" w:ascii="宋体" w:hAnsi="宋体" w:eastAsia="宋体" w:cs="宋体"/>
          <w:bCs/>
          <w:sz w:val="24"/>
          <w:lang w:val="en-US" w:eastAsia="zh-CN" w:bidi="ar"/>
        </w:rPr>
        <w:t>开户行：</w:t>
      </w:r>
    </w:p>
    <w:p w14:paraId="48A48C35">
      <w:pPr>
        <w:keepNext w:val="0"/>
        <w:keepLines w:val="0"/>
        <w:pageBreakBefore w:val="0"/>
        <w:tabs>
          <w:tab w:val="left" w:pos="0"/>
          <w:tab w:val="left" w:pos="780"/>
        </w:tabs>
        <w:kinsoku/>
        <w:wordWrap/>
        <w:overflowPunct/>
        <w:topLinePunct w:val="0"/>
        <w:autoSpaceDE/>
        <w:autoSpaceDN/>
        <w:bidi w:val="0"/>
        <w:snapToGrid w:val="0"/>
        <w:spacing w:line="360" w:lineRule="auto"/>
        <w:ind w:left="426"/>
        <w:rPr>
          <w:rFonts w:hint="eastAsia" w:ascii="宋体" w:hAnsi="宋体" w:cs="宋体"/>
          <w:b/>
          <w:sz w:val="24"/>
          <w:lang w:bidi="ar"/>
        </w:rPr>
      </w:pPr>
      <w:r>
        <w:rPr>
          <w:rFonts w:hint="eastAsia" w:ascii="宋体" w:hAnsi="宋体" w:cs="宋体"/>
          <w:b/>
          <w:sz w:val="24"/>
          <w:lang w:bidi="ar"/>
        </w:rPr>
        <w:t>第五条 服务时间、进度安排和服务地点要求</w:t>
      </w:r>
    </w:p>
    <w:p w14:paraId="69E98D0B">
      <w:pPr>
        <w:keepNext w:val="0"/>
        <w:keepLines w:val="0"/>
        <w:pageBreakBefore w:val="0"/>
        <w:numPr>
          <w:ilvl w:val="0"/>
          <w:numId w:val="3"/>
        </w:numPr>
        <w:tabs>
          <w:tab w:val="left" w:pos="0"/>
          <w:tab w:val="left" w:pos="780"/>
        </w:tabs>
        <w:kinsoku/>
        <w:wordWrap/>
        <w:overflowPunct/>
        <w:topLinePunct w:val="0"/>
        <w:autoSpaceDE/>
        <w:autoSpaceDN/>
        <w:bidi w:val="0"/>
        <w:snapToGrid w:val="0"/>
        <w:spacing w:line="360" w:lineRule="auto"/>
        <w:ind w:left="426"/>
        <w:rPr>
          <w:rFonts w:hint="eastAsia" w:ascii="宋体" w:hAnsi="宋体" w:cs="宋体"/>
          <w:b/>
          <w:sz w:val="24"/>
          <w:lang w:bidi="ar"/>
        </w:rPr>
      </w:pPr>
      <w:r>
        <w:rPr>
          <w:rFonts w:hint="eastAsia" w:ascii="宋体" w:hAnsi="宋体" w:cs="宋体"/>
          <w:b/>
          <w:sz w:val="24"/>
          <w:lang w:bidi="ar"/>
        </w:rPr>
        <w:t>服务时间：</w:t>
      </w:r>
    </w:p>
    <w:p w14:paraId="48F960B2">
      <w:pPr>
        <w:keepNext w:val="0"/>
        <w:keepLines w:val="0"/>
        <w:pageBreakBefore w:val="0"/>
        <w:numPr>
          <w:ilvl w:val="0"/>
          <w:numId w:val="3"/>
        </w:numPr>
        <w:tabs>
          <w:tab w:val="left" w:pos="0"/>
          <w:tab w:val="left" w:pos="780"/>
        </w:tabs>
        <w:kinsoku/>
        <w:wordWrap/>
        <w:overflowPunct/>
        <w:topLinePunct w:val="0"/>
        <w:autoSpaceDE/>
        <w:autoSpaceDN/>
        <w:bidi w:val="0"/>
        <w:snapToGrid w:val="0"/>
        <w:spacing w:line="360" w:lineRule="auto"/>
        <w:ind w:left="426"/>
        <w:rPr>
          <w:rFonts w:hint="eastAsia" w:ascii="宋体" w:hAnsi="宋体" w:cs="宋体"/>
          <w:b/>
          <w:sz w:val="24"/>
          <w:lang w:bidi="ar"/>
        </w:rPr>
      </w:pPr>
      <w:r>
        <w:rPr>
          <w:rFonts w:hint="eastAsia" w:ascii="宋体" w:hAnsi="宋体" w:cs="宋体"/>
          <w:b/>
          <w:sz w:val="24"/>
          <w:lang w:bidi="ar"/>
        </w:rPr>
        <w:t>服务进度安排：</w:t>
      </w:r>
    </w:p>
    <w:p w14:paraId="66C87332">
      <w:pPr>
        <w:keepNext w:val="0"/>
        <w:keepLines w:val="0"/>
        <w:pageBreakBefore w:val="0"/>
        <w:numPr>
          <w:ilvl w:val="0"/>
          <w:numId w:val="3"/>
        </w:numPr>
        <w:tabs>
          <w:tab w:val="left" w:pos="0"/>
          <w:tab w:val="left" w:pos="780"/>
        </w:tabs>
        <w:kinsoku/>
        <w:wordWrap/>
        <w:overflowPunct/>
        <w:topLinePunct w:val="0"/>
        <w:autoSpaceDE/>
        <w:autoSpaceDN/>
        <w:bidi w:val="0"/>
        <w:snapToGrid w:val="0"/>
        <w:spacing w:line="360" w:lineRule="auto"/>
        <w:ind w:left="426"/>
        <w:rPr>
          <w:rFonts w:hint="eastAsia" w:ascii="宋体" w:hAnsi="宋体" w:cs="宋体"/>
          <w:b/>
          <w:sz w:val="24"/>
          <w:lang w:bidi="ar"/>
        </w:rPr>
      </w:pPr>
      <w:r>
        <w:rPr>
          <w:rFonts w:hint="eastAsia" w:ascii="宋体" w:hAnsi="宋体" w:cs="宋体"/>
          <w:b/>
          <w:sz w:val="24"/>
          <w:lang w:bidi="ar"/>
        </w:rPr>
        <w:t>服务地点：采购人指定地点</w:t>
      </w:r>
    </w:p>
    <w:p w14:paraId="6D30879E">
      <w:pPr>
        <w:keepNext w:val="0"/>
        <w:keepLines w:val="0"/>
        <w:pageBreakBefore w:val="0"/>
        <w:tabs>
          <w:tab w:val="left" w:pos="0"/>
          <w:tab w:val="left" w:pos="780"/>
        </w:tabs>
        <w:kinsoku/>
        <w:wordWrap/>
        <w:overflowPunct/>
        <w:topLinePunct w:val="0"/>
        <w:autoSpaceDE/>
        <w:autoSpaceDN/>
        <w:bidi w:val="0"/>
        <w:snapToGrid w:val="0"/>
        <w:spacing w:line="360" w:lineRule="auto"/>
        <w:ind w:firstLine="482" w:firstLineChars="200"/>
        <w:rPr>
          <w:rFonts w:hint="eastAsia" w:ascii="宋体" w:hAnsi="宋体" w:cs="宋体"/>
          <w:b/>
          <w:sz w:val="24"/>
          <w:lang w:bidi="ar"/>
        </w:rPr>
      </w:pPr>
      <w:r>
        <w:rPr>
          <w:rFonts w:hint="eastAsia" w:ascii="宋体" w:hAnsi="宋体" w:cs="宋体"/>
          <w:b/>
          <w:sz w:val="24"/>
          <w:lang w:bidi="ar"/>
        </w:rPr>
        <w:t>第六条 售后服务</w:t>
      </w:r>
    </w:p>
    <w:p w14:paraId="6F32A170">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乙方需指派专人负责与采购人联系后续服务事宜。</w:t>
      </w:r>
    </w:p>
    <w:p w14:paraId="7CE1CB99">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后续服务联系人：XXX</w:t>
      </w:r>
    </w:p>
    <w:p w14:paraId="6D116ECF">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 xml:space="preserve">联系电话：XXXX </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35C642CE">
      <w:pPr>
        <w:keepNext w:val="0"/>
        <w:keepLines w:val="0"/>
        <w:pageBreakBefore w:val="0"/>
        <w:tabs>
          <w:tab w:val="left" w:pos="0"/>
          <w:tab w:val="left" w:pos="780"/>
        </w:tabs>
        <w:kinsoku/>
        <w:wordWrap/>
        <w:overflowPunct/>
        <w:topLinePunct w:val="0"/>
        <w:autoSpaceDE/>
        <w:autoSpaceDN/>
        <w:bidi w:val="0"/>
        <w:snapToGrid w:val="0"/>
        <w:spacing w:line="360" w:lineRule="auto"/>
        <w:ind w:left="420" w:leftChars="200"/>
        <w:rPr>
          <w:rFonts w:hint="eastAsia" w:ascii="宋体" w:hAnsi="宋体" w:cs="宋体"/>
          <w:b/>
          <w:sz w:val="24"/>
          <w:lang w:bidi="ar"/>
        </w:rPr>
      </w:pPr>
      <w:r>
        <w:rPr>
          <w:rFonts w:hint="eastAsia" w:ascii="宋体" w:hAnsi="宋体" w:cs="宋体"/>
          <w:b/>
          <w:sz w:val="24"/>
          <w:lang w:bidi="ar"/>
        </w:rPr>
        <w:t>第七条 保险</w:t>
      </w:r>
    </w:p>
    <w:p w14:paraId="0A4219D3">
      <w:pPr>
        <w:keepNext w:val="0"/>
        <w:keepLines w:val="0"/>
        <w:pageBreakBefore w:val="0"/>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cs="宋体"/>
          <w:b/>
          <w:sz w:val="24"/>
          <w:lang w:bidi="ar"/>
        </w:rPr>
      </w:pPr>
      <w:r>
        <w:rPr>
          <w:rFonts w:hint="eastAsia" w:ascii="宋体" w:hAnsi="宋体" w:cs="宋体"/>
          <w:sz w:val="24"/>
        </w:rPr>
        <w:t>按国家相关规定执行。</w:t>
      </w:r>
    </w:p>
    <w:p w14:paraId="35EBAAA9">
      <w:pPr>
        <w:keepNext w:val="0"/>
        <w:keepLines w:val="0"/>
        <w:pageBreakBefore w:val="0"/>
        <w:kinsoku/>
        <w:wordWrap/>
        <w:overflowPunct/>
        <w:topLinePunct w:val="0"/>
        <w:autoSpaceDE/>
        <w:autoSpaceDN/>
        <w:bidi w:val="0"/>
        <w:spacing w:line="360" w:lineRule="auto"/>
        <w:ind w:firstLine="482" w:firstLineChars="200"/>
        <w:rPr>
          <w:rFonts w:hint="eastAsia" w:ascii="宋体" w:hAnsi="宋体" w:cs="宋体"/>
          <w:b/>
          <w:sz w:val="24"/>
          <w:lang w:bidi="ar"/>
        </w:rPr>
      </w:pPr>
      <w:r>
        <w:rPr>
          <w:rFonts w:hint="eastAsia" w:ascii="宋体" w:hAnsi="宋体" w:cs="宋体"/>
          <w:b/>
          <w:sz w:val="24"/>
          <w:lang w:bidi="ar"/>
        </w:rPr>
        <w:t>第八条 履约验收标准</w:t>
      </w:r>
    </w:p>
    <w:p w14:paraId="608DB795">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b/>
          <w:sz w:val="24"/>
          <w:lang w:bidi="ar"/>
        </w:rPr>
      </w:pPr>
      <w:r>
        <w:rPr>
          <w:rFonts w:hint="eastAsia" w:ascii="宋体" w:hAnsi="宋体" w:cs="宋体"/>
          <w:sz w:val="24"/>
          <w:shd w:val="clear" w:color="auto" w:fill="FFFFFF"/>
          <w:lang w:bidi="ar"/>
        </w:rPr>
        <w:t>双方严格按照相关法律法规、</w:t>
      </w:r>
      <w:r>
        <w:rPr>
          <w:rFonts w:hint="eastAsia" w:ascii="宋体" w:hAnsi="宋体" w:cs="宋体"/>
          <w:sz w:val="24"/>
          <w:shd w:val="clear" w:color="auto" w:fill="FFFFFF"/>
          <w:lang w:val="en-US" w:eastAsia="zh-CN" w:bidi="ar"/>
        </w:rPr>
        <w:t>询价采购</w:t>
      </w:r>
      <w:r>
        <w:rPr>
          <w:rFonts w:hint="eastAsia" w:ascii="宋体" w:hAnsi="宋体" w:cs="宋体"/>
          <w:sz w:val="24"/>
          <w:shd w:val="clear" w:color="auto" w:fill="FFFFFF"/>
          <w:lang w:bidi="ar"/>
        </w:rPr>
        <w:t>文件、响应文件的要求进行验收。</w:t>
      </w:r>
    </w:p>
    <w:p w14:paraId="027EDAD1">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第九条 知识产权</w:t>
      </w:r>
    </w:p>
    <w:p w14:paraId="2A77E998">
      <w:pPr>
        <w:keepNext w:val="0"/>
        <w:keepLines w:val="0"/>
        <w:pageBreakBefore w:val="0"/>
        <w:tabs>
          <w:tab w:val="left" w:pos="144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乙方应保证所提供的服务或其任何一部分均不会侵犯任何第三方的专利权、商标权或著作权。向乙方所提交的工作成果归属甲方所有，未经甲方许可，乙方不得擅自使用或向其他任意第三方披露。</w:t>
      </w:r>
    </w:p>
    <w:p w14:paraId="578535FE">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第十条 无产权瑕疵条款</w:t>
      </w:r>
    </w:p>
    <w:p w14:paraId="1DB02812">
      <w:pPr>
        <w:keepNext w:val="0"/>
        <w:keepLines w:val="0"/>
        <w:pageBreakBefore w:val="0"/>
        <w:tabs>
          <w:tab w:val="left" w:pos="144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乙方保证所提供的服务的所有权完全属于乙方且无任何抵押、查封等产权瑕疵。如有产权瑕疵的，视为乙方违约。乙方应负担由此而产生的一切损失。</w:t>
      </w:r>
    </w:p>
    <w:p w14:paraId="57A2F758">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第十一条 甲方的权利和义务</w:t>
      </w:r>
    </w:p>
    <w:p w14:paraId="77BCBAB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1、甲方有权对合同规定范围内乙方的服务行为进行监督和检查，拥有监管权。有权定期核对乙方提供服务所配备的人员数量。对甲方认为不合理的部分有权下达整改通知书，并要求乙方限期整改。乙方无合理理由拒不整改的，甲方有权解除本合同，要求乙方退还已经支付的全部合同款项，并赔偿由此对甲方造成的全部损失。</w:t>
      </w:r>
    </w:p>
    <w:p w14:paraId="05B3E06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rPr>
      </w:pPr>
      <w:r>
        <w:rPr>
          <w:rFonts w:hint="eastAsia" w:ascii="宋体" w:hAnsi="宋体" w:cs="宋体"/>
          <w:bCs/>
          <w:sz w:val="24"/>
          <w:lang w:val="en-US" w:eastAsia="zh-CN" w:bidi="ar"/>
        </w:rPr>
        <w:t>2、</w:t>
      </w:r>
      <w:r>
        <w:rPr>
          <w:rFonts w:hint="eastAsia" w:ascii="宋体" w:hAnsi="宋体" w:cs="宋体"/>
          <w:bCs/>
          <w:sz w:val="24"/>
          <w:lang w:bidi="ar"/>
        </w:rPr>
        <w:t>乙方未按要求履约的，甲方有权扣除履约保证金。</w:t>
      </w:r>
    </w:p>
    <w:p w14:paraId="0D5DF54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val="en-US" w:eastAsia="zh-CN" w:bidi="ar"/>
        </w:rPr>
        <w:t>3</w:t>
      </w:r>
      <w:r>
        <w:rPr>
          <w:rFonts w:hint="eastAsia" w:ascii="宋体" w:hAnsi="宋体" w:cs="宋体"/>
          <w:bCs/>
          <w:sz w:val="24"/>
          <w:lang w:bidi="ar"/>
        </w:rPr>
        <w:t>、负责检查监督乙方管理工作的实施及制度的执行情况。</w:t>
      </w:r>
    </w:p>
    <w:p w14:paraId="706298B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val="en-US" w:eastAsia="zh-CN" w:bidi="ar"/>
        </w:rPr>
        <w:t>4</w:t>
      </w:r>
      <w:r>
        <w:rPr>
          <w:rFonts w:hint="eastAsia" w:ascii="宋体" w:hAnsi="宋体" w:cs="宋体"/>
          <w:bCs/>
          <w:sz w:val="24"/>
          <w:lang w:bidi="ar"/>
        </w:rPr>
        <w:t>、根据本合同规定，按时向乙方支付应付服务费用。</w:t>
      </w:r>
    </w:p>
    <w:p w14:paraId="6C030B0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val="en-US" w:eastAsia="zh-CN" w:bidi="ar"/>
        </w:rPr>
        <w:t>5</w:t>
      </w:r>
      <w:r>
        <w:rPr>
          <w:rFonts w:hint="eastAsia" w:ascii="宋体" w:hAnsi="宋体" w:cs="宋体"/>
          <w:bCs/>
          <w:sz w:val="24"/>
          <w:lang w:bidi="ar"/>
        </w:rPr>
        <w:t>、国家法律、法规所规定由甲方承担的其它责任。</w:t>
      </w:r>
    </w:p>
    <w:p w14:paraId="4D5EEB2B">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第十二条 乙方的权利和义务</w:t>
      </w:r>
    </w:p>
    <w:p w14:paraId="1D954749">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bidi="ar"/>
        </w:rPr>
        <w:t>1、对本合同规定的委托服务范围内的项目享有管理权及服务义务。</w:t>
      </w:r>
    </w:p>
    <w:p w14:paraId="5744005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bidi="ar"/>
        </w:rPr>
        <w:t>2、根据本合同的规定向甲方收取相关服务费用，并有权在本项目管理范围内管理及合理使用。</w:t>
      </w:r>
    </w:p>
    <w:p w14:paraId="114CE97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lang w:bidi="ar"/>
        </w:rPr>
        <w:t>3、及时向甲方通告本项目服务范围内有关服务的重大事项，及时配合处理投诉。</w:t>
      </w:r>
    </w:p>
    <w:p w14:paraId="01A51D0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sz w:val="24"/>
          <w:lang w:bidi="ar"/>
        </w:rPr>
        <w:t>4、</w:t>
      </w:r>
      <w:r>
        <w:rPr>
          <w:rFonts w:hint="eastAsia" w:ascii="宋体" w:hAnsi="宋体" w:cs="宋体"/>
          <w:bCs/>
          <w:sz w:val="24"/>
          <w:lang w:bidi="ar"/>
        </w:rPr>
        <w:t>接受项目行业管理部门及有关部门的指导，接受甲方的监督。</w:t>
      </w:r>
    </w:p>
    <w:p w14:paraId="59B0B33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5、国家法律、法规所规定由乙方承担的其它责任。</w:t>
      </w:r>
    </w:p>
    <w:p w14:paraId="372C9C3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6、乙方按照国家水土保持法律法规及相关技术规范、标准进行水土保持方案编制，并对所提交成果的科学性、合理性负责。</w:t>
      </w:r>
    </w:p>
    <w:p w14:paraId="5023651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7、乙方负责对所提交的编制报告中出现的遗漏和错误负责修改或补充，但完成工作期限不延长并负责方案评审时的汇报及疑难问题的解答。</w:t>
      </w:r>
    </w:p>
    <w:p w14:paraId="7877C3F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8、参加本项目水土保持方案报告的技术评审会，并根据评审意见，在五日内不超出原定评价工作内容情况下，对报告进行补充和完善并提交审批部门审批。</w:t>
      </w:r>
    </w:p>
    <w:p w14:paraId="75FB5F90">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第十三条 违约责任</w:t>
      </w:r>
    </w:p>
    <w:p w14:paraId="5856E858">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1、甲乙双方必须遵守本合同并执行合同中的各项规定，保证本合同的正常履行。</w:t>
      </w:r>
    </w:p>
    <w:p w14:paraId="5F18F81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2</w:t>
      </w:r>
      <w:r>
        <w:rPr>
          <w:rFonts w:hint="eastAsia" w:ascii="宋体" w:hAnsi="宋体" w:cs="宋体"/>
          <w:bCs/>
          <w:sz w:val="24"/>
          <w:lang w:bidi="ar"/>
        </w:rPr>
        <w:t>、乙方应严格按照本合同约定的工作完成期限执行，否则，每逾期一日，乙方应按本合同金额的千分之五向甲方支付违约金，逾期超过15日的，甲方有权解除本合同。</w:t>
      </w:r>
    </w:p>
    <w:p w14:paraId="61FEBA3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3</w:t>
      </w:r>
      <w:r>
        <w:rPr>
          <w:rFonts w:hint="eastAsia" w:ascii="宋体" w:hAnsi="宋体" w:cs="宋体"/>
          <w:bCs/>
          <w:sz w:val="24"/>
          <w:lang w:bidi="ar"/>
        </w:rPr>
        <w:t>、乙方工作人员在完成服务过程中自身受到损害或造成甲方及第三方损害等，均由乙方承担，与甲方无关；甲方财产损失以及因乙方原因导致的甲方对任何第三方的法律责任等，乙方均应承担全部的赔偿责任。</w:t>
      </w:r>
    </w:p>
    <w:p w14:paraId="56B8C15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4</w:t>
      </w:r>
      <w:r>
        <w:rPr>
          <w:rFonts w:hint="eastAsia" w:ascii="宋体" w:hAnsi="宋体" w:cs="宋体"/>
          <w:bCs/>
          <w:sz w:val="24"/>
          <w:lang w:bidi="ar"/>
        </w:rPr>
        <w:t>、乙方履行合同不符合合同约定，经甲方发出书面整改意见后仍不整改的，甲方有权解除合同。</w:t>
      </w:r>
    </w:p>
    <w:p w14:paraId="067F1EF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5</w:t>
      </w:r>
      <w:r>
        <w:rPr>
          <w:rFonts w:hint="eastAsia" w:ascii="宋体" w:hAnsi="宋体" w:cs="宋体"/>
          <w:bCs/>
          <w:sz w:val="24"/>
          <w:lang w:bidi="ar"/>
        </w:rPr>
        <w:t>、</w:t>
      </w:r>
      <w:r>
        <w:rPr>
          <w:rFonts w:hint="eastAsia" w:ascii="宋体" w:hAnsi="宋体" w:cs="宋体"/>
          <w:b/>
          <w:bCs w:val="0"/>
          <w:sz w:val="24"/>
          <w:lang w:bidi="ar"/>
        </w:rPr>
        <w:t>因乙方原因导致合同解除或乙方存在任何违约行为的，乙方除承担合同总金额20%的违约金外</w:t>
      </w:r>
      <w:r>
        <w:rPr>
          <w:rFonts w:hint="eastAsia" w:ascii="宋体" w:hAnsi="宋体" w:cs="宋体"/>
          <w:bCs/>
          <w:sz w:val="24"/>
          <w:lang w:bidi="ar"/>
        </w:rPr>
        <w:t>，还应承担甲方因主张权利产生的包括但不限于调查费、评估费、鉴定费、律师费、公证费、诉讼费、财产保全费、保全保险费、差旅费、公证费等合理费用。</w:t>
      </w:r>
    </w:p>
    <w:p w14:paraId="78F86130">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baseline"/>
        <w:rPr>
          <w:rFonts w:hint="eastAsia" w:ascii="宋体" w:hAnsi="宋体" w:cs="宋体"/>
          <w:bCs/>
          <w:sz w:val="24"/>
          <w:lang w:bidi="ar"/>
        </w:rPr>
      </w:pPr>
      <w:r>
        <w:rPr>
          <w:rFonts w:hint="eastAsia" w:ascii="宋体" w:hAnsi="宋体" w:cs="宋体"/>
          <w:b/>
          <w:bCs w:val="0"/>
          <w:sz w:val="24"/>
          <w:lang w:val="en-US" w:eastAsia="zh-CN" w:bidi="ar"/>
        </w:rPr>
        <w:t>6</w:t>
      </w:r>
      <w:r>
        <w:rPr>
          <w:rFonts w:hint="eastAsia" w:ascii="宋体" w:hAnsi="宋体" w:cs="宋体"/>
          <w:b/>
          <w:bCs w:val="0"/>
          <w:sz w:val="24"/>
          <w:lang w:bidi="ar"/>
        </w:rPr>
        <w:t>、合同所约定违约金，均是考虑了商誉、社会影响、时间成本、机会成本、处理违约事件所耗费资源（人力、财力）等综合抽象要素所造成的损失的。该等损失的抽象性虽难以精确量化，但各方诚信认可其在商业交易中确实存在，为避免届时难以精确衡量，故在此事先约定以违约金方式，尽量弥补损失，同时主合同所约定的违约金具有惩罚性违约金性质。在充分理解和认可上述原则的基础上，双方在违约情况发生后，相对方向违约方主张违约责任时，双方均不再以“违约金过分高于/低于损失”等为由作为抗辩要求调低或调高违约金，收取违约金的一方亦无需举证具体损失。</w:t>
      </w:r>
    </w:p>
    <w:p w14:paraId="0BE45BE0">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第十四条 不可抗力事件处理</w:t>
      </w:r>
    </w:p>
    <w:p w14:paraId="0F92EA43">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1、在合同有效期内，任何一方因不可抗力事件导致不能履行合同，则合同履行期可延长，其延长期与不可抗力影响期相同。</w:t>
      </w:r>
    </w:p>
    <w:p w14:paraId="0EF40FF0">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2、不可抗力事件发生后，应立即通知对方，并寄送有关权威机构出具的证明。</w:t>
      </w:r>
    </w:p>
    <w:p w14:paraId="57E0C6F9">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 xml:space="preserve">3、不可抗力事件延续 </w:t>
      </w:r>
      <w:r>
        <w:rPr>
          <w:rFonts w:hint="eastAsia" w:ascii="宋体" w:hAnsi="宋体" w:cs="宋体"/>
          <w:sz w:val="24"/>
          <w:lang w:val="en-US" w:eastAsia="zh-CN" w:bidi="ar"/>
        </w:rPr>
        <w:t>7</w:t>
      </w:r>
      <w:r>
        <w:rPr>
          <w:rFonts w:hint="eastAsia" w:ascii="宋体" w:hAnsi="宋体" w:cs="宋体"/>
          <w:sz w:val="24"/>
          <w:lang w:bidi="ar"/>
        </w:rPr>
        <w:t>天以上，双方应通过友好协商，确定是否继续履行合同。</w:t>
      </w:r>
    </w:p>
    <w:p w14:paraId="09464DE6">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bookmarkStart w:id="22" w:name="_Toc232492933"/>
      <w:bookmarkStart w:id="23" w:name="_Toc225670756"/>
      <w:bookmarkStart w:id="24" w:name="_Toc185395254"/>
      <w:bookmarkStart w:id="25" w:name="_Toc286993792"/>
      <w:bookmarkStart w:id="26" w:name="_Toc225244857"/>
      <w:bookmarkStart w:id="27" w:name="_Toc212019599"/>
      <w:bookmarkStart w:id="28" w:name="_Toc237145411"/>
      <w:bookmarkStart w:id="29" w:name="_Toc211911353"/>
      <w:bookmarkStart w:id="30" w:name="_Toc211854454"/>
      <w:bookmarkStart w:id="31" w:name="_Toc225654649"/>
      <w:bookmarkStart w:id="32" w:name="_Toc251768867"/>
      <w:bookmarkStart w:id="33" w:name="_Toc238984980"/>
      <w:bookmarkStart w:id="34" w:name="_Toc247334846"/>
      <w:bookmarkStart w:id="35" w:name="_Toc241833908"/>
      <w:bookmarkStart w:id="36" w:name="_Toc239568423"/>
      <w:bookmarkStart w:id="37" w:name="_Toc239233919"/>
      <w:r>
        <w:rPr>
          <w:rFonts w:hint="eastAsia" w:ascii="宋体" w:hAnsi="宋体" w:cs="宋体"/>
          <w:b/>
          <w:sz w:val="24"/>
          <w:lang w:bidi="ar"/>
        </w:rPr>
        <w:t>第十五条  解决合同纠纷的方式</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96D2468">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在执行本合同中发生的或与本合同有关的争端，双方应通过友好协商解决，经协商在 30 天内不能达成协议时，应提交甲方所在地人民法院诉讼。</w:t>
      </w:r>
    </w:p>
    <w:p w14:paraId="6EAFE392">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bookmarkStart w:id="38" w:name="_Toc247334847"/>
      <w:bookmarkStart w:id="39" w:name="_Toc238984981"/>
      <w:bookmarkStart w:id="40" w:name="_Toc185395255"/>
      <w:bookmarkStart w:id="41" w:name="_Toc225244858"/>
      <w:bookmarkStart w:id="42" w:name="_Toc237145412"/>
      <w:bookmarkStart w:id="43" w:name="_Toc283019219"/>
      <w:bookmarkStart w:id="44" w:name="_Toc212019600"/>
      <w:bookmarkStart w:id="45" w:name="_Toc239233920"/>
      <w:bookmarkStart w:id="46" w:name="_Toc225670757"/>
      <w:bookmarkStart w:id="47" w:name="_Toc211911354"/>
      <w:bookmarkStart w:id="48" w:name="_Toc286993793"/>
      <w:bookmarkStart w:id="49" w:name="_Toc239568424"/>
      <w:bookmarkStart w:id="50" w:name="_Toc211854455"/>
      <w:bookmarkStart w:id="51" w:name="_Toc251768868"/>
      <w:bookmarkStart w:id="52" w:name="_Toc225654650"/>
      <w:bookmarkStart w:id="53" w:name="_Toc241833909"/>
      <w:bookmarkStart w:id="54" w:name="_Toc282696231"/>
      <w:bookmarkStart w:id="55" w:name="_Toc232492934"/>
      <w:r>
        <w:rPr>
          <w:rFonts w:hint="eastAsia" w:ascii="宋体" w:hAnsi="宋体" w:cs="宋体"/>
          <w:b/>
          <w:sz w:val="24"/>
          <w:lang w:bidi="ar"/>
        </w:rPr>
        <w:t>第十六条  合同</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宋体" w:hAnsi="宋体" w:cs="宋体"/>
          <w:b/>
          <w:sz w:val="24"/>
          <w:lang w:bidi="ar"/>
        </w:rPr>
        <w:t>生效及其他</w:t>
      </w:r>
    </w:p>
    <w:p w14:paraId="0D2809C0">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sz w:val="24"/>
          <w:szCs w:val="24"/>
        </w:rPr>
      </w:pPr>
      <w:r>
        <w:rPr>
          <w:rFonts w:hint="eastAsia" w:ascii="宋体" w:hAnsi="宋体" w:cs="宋体"/>
          <w:sz w:val="24"/>
          <w:szCs w:val="24"/>
        </w:rPr>
        <w:t>1、合同执行中涉及采购资金和采购内容修改或补充的，由甲乙双方协商，须经相关部门审批</w:t>
      </w:r>
      <w:r>
        <w:rPr>
          <w:rFonts w:hint="eastAsia" w:ascii="宋体" w:hAnsi="宋体" w:cs="宋体"/>
          <w:sz w:val="24"/>
          <w:szCs w:val="24"/>
          <w:lang w:eastAsia="zh-CN"/>
        </w:rPr>
        <w:t>，</w:t>
      </w:r>
      <w:r>
        <w:rPr>
          <w:rFonts w:hint="eastAsia" w:ascii="宋体" w:hAnsi="宋体" w:cs="宋体"/>
          <w:sz w:val="24"/>
          <w:szCs w:val="24"/>
        </w:rPr>
        <w:t>并签订书面补充协议，方可作为主合同不可分割的一部分，与本合同具有同等法律效力。</w:t>
      </w:r>
    </w:p>
    <w:p w14:paraId="7291F723">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sz w:val="24"/>
          <w:szCs w:val="24"/>
        </w:rPr>
      </w:pPr>
      <w:r>
        <w:rPr>
          <w:rFonts w:hint="eastAsia" w:ascii="宋体" w:hAnsi="宋体" w:cs="宋体"/>
          <w:sz w:val="24"/>
          <w:szCs w:val="24"/>
        </w:rPr>
        <w:t>2、本合同一式</w:t>
      </w:r>
      <w:r>
        <w:rPr>
          <w:rFonts w:hint="eastAsia" w:ascii="宋体" w:hAnsi="宋体" w:cs="宋体"/>
          <w:sz w:val="24"/>
          <w:szCs w:val="24"/>
          <w:u w:val="single"/>
        </w:rPr>
        <w:t xml:space="preserve">  </w:t>
      </w:r>
      <w:r>
        <w:rPr>
          <w:rFonts w:hint="eastAsia" w:ascii="宋体" w:hAnsi="宋体" w:cs="宋体"/>
          <w:sz w:val="24"/>
          <w:szCs w:val="24"/>
        </w:rPr>
        <w:t>份，自</w:t>
      </w:r>
      <w:r>
        <w:rPr>
          <w:rFonts w:hint="eastAsia" w:ascii="宋体" w:hAnsi="宋体" w:cs="宋体"/>
          <w:sz w:val="24"/>
          <w:szCs w:val="24"/>
          <w:lang w:val="en-US" w:eastAsia="zh-CN"/>
        </w:rPr>
        <w:t>合同成立</w:t>
      </w:r>
      <w:r>
        <w:rPr>
          <w:rFonts w:hint="eastAsia" w:ascii="宋体" w:hAnsi="宋体" w:cs="宋体"/>
          <w:sz w:val="24"/>
          <w:szCs w:val="24"/>
        </w:rPr>
        <w:t>之日起生效。甲方</w:t>
      </w:r>
      <w:r>
        <w:rPr>
          <w:rFonts w:hint="eastAsia" w:ascii="宋体" w:hAnsi="宋体" w:cs="宋体"/>
          <w:sz w:val="24"/>
          <w:szCs w:val="24"/>
          <w:u w:val="single"/>
        </w:rPr>
        <w:t xml:space="preserve">  </w:t>
      </w:r>
      <w:r>
        <w:rPr>
          <w:rFonts w:hint="eastAsia" w:ascii="宋体" w:hAnsi="宋体" w:cs="宋体"/>
          <w:sz w:val="24"/>
          <w:szCs w:val="24"/>
        </w:rPr>
        <w:t>份、乙方</w:t>
      </w:r>
      <w:r>
        <w:rPr>
          <w:rFonts w:hint="eastAsia" w:ascii="宋体" w:hAnsi="宋体" w:cs="宋体"/>
          <w:sz w:val="24"/>
          <w:szCs w:val="24"/>
          <w:u w:val="single"/>
        </w:rPr>
        <w:t xml:space="preserve">  </w:t>
      </w:r>
      <w:r>
        <w:rPr>
          <w:rFonts w:hint="eastAsia" w:ascii="宋体" w:hAnsi="宋体" w:cs="宋体"/>
          <w:sz w:val="24"/>
          <w:szCs w:val="24"/>
        </w:rPr>
        <w:t>份。具有同等法律效力。</w:t>
      </w:r>
    </w:p>
    <w:p w14:paraId="5715AEED">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sz w:val="24"/>
          <w:szCs w:val="24"/>
        </w:rPr>
      </w:pPr>
      <w:r>
        <w:rPr>
          <w:rFonts w:hint="eastAsia" w:ascii="宋体" w:hAnsi="宋体" w:cs="宋体"/>
          <w:sz w:val="24"/>
          <w:szCs w:val="24"/>
        </w:rPr>
        <w:t>3、双方确认本合同标明的地址为本合同履行过程以及争议解决中的文书送达地址。合同履行和仲裁、执行以及其他法律程序所涉及之相关法律文件，以邮件快递寄送本合同记载的对方当事人住址即为送达。任何一方均应积极履行通知和被通知义务，不得以拒绝签收、无人签收或变更地址未通知等理由否认送达效力。一方联系方式有变化应在3日内书面通知对方，否则应当承担视为送达等一切法律后果。</w:t>
      </w:r>
    </w:p>
    <w:p w14:paraId="77A1D088">
      <w:pPr>
        <w:pStyle w:val="12"/>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b/>
          <w:bCs/>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甲方已采取合理的方式提示乙方注意免除或者减轻甲方责任等与乙方有重大利害关系的条款，按照乙方的要求，甲方已就本协议全部内容向本人进行了逐条说明与解释（尤其是黑体部分），履行了提示注意义务和充分说明义务，乙方不得主张该条款不成为本协议的内容或该条款无效，乙方对前述全部内容均已知晓并予以认可。</w:t>
      </w:r>
    </w:p>
    <w:p w14:paraId="7090EA4D">
      <w:pPr>
        <w:keepNext w:val="0"/>
        <w:keepLines w:val="0"/>
        <w:pageBreakBefore w:val="0"/>
        <w:kinsoku/>
        <w:wordWrap/>
        <w:overflowPunct/>
        <w:topLinePunct w:val="0"/>
        <w:autoSpaceDE/>
        <w:autoSpaceDN/>
        <w:bidi w:val="0"/>
        <w:snapToGrid w:val="0"/>
        <w:spacing w:line="360" w:lineRule="auto"/>
        <w:ind w:left="426"/>
        <w:rPr>
          <w:rFonts w:hint="eastAsia"/>
        </w:rPr>
      </w:pPr>
      <w:r>
        <w:rPr>
          <w:rFonts w:hint="eastAsia" w:ascii="宋体" w:hAnsi="宋体" w:cs="宋体"/>
          <w:b/>
          <w:sz w:val="24"/>
          <w:lang w:bidi="ar"/>
        </w:rPr>
        <w:t>第十七条  附件</w:t>
      </w:r>
    </w:p>
    <w:p w14:paraId="3A6AF150">
      <w:pPr>
        <w:pStyle w:val="3"/>
        <w:rPr>
          <w:rFonts w:hint="eastAsia" w:ascii="宋体" w:hAnsi="宋体" w:cs="宋体"/>
          <w:b/>
          <w:sz w:val="24"/>
          <w:lang w:bidi="ar"/>
        </w:rPr>
      </w:pPr>
    </w:p>
    <w:p w14:paraId="173F992A">
      <w:pPr>
        <w:snapToGrid w:val="0"/>
        <w:spacing w:line="360" w:lineRule="auto"/>
        <w:rPr>
          <w:rFonts w:hint="eastAsia" w:ascii="宋体" w:hAnsi="宋体" w:cs="宋体"/>
          <w:sz w:val="24"/>
        </w:rPr>
      </w:pPr>
      <w:r>
        <w:rPr>
          <w:rFonts w:hint="eastAsia" w:ascii="宋体" w:hAnsi="宋体" w:cs="宋体"/>
          <w:sz w:val="24"/>
          <w:lang w:bidi="ar"/>
        </w:rPr>
        <w:t xml:space="preserve">甲方：   （盖章）   </w:t>
      </w:r>
      <w:r>
        <w:rPr>
          <w:rFonts w:hint="eastAsia" w:ascii="宋体" w:hAnsi="宋体" w:cs="宋体"/>
          <w:sz w:val="24"/>
          <w:lang w:bidi="ar"/>
        </w:rPr>
        <w:tab/>
      </w:r>
      <w:r>
        <w:rPr>
          <w:rFonts w:hint="eastAsia" w:ascii="宋体" w:hAnsi="宋体" w:cs="宋体"/>
          <w:sz w:val="24"/>
          <w:lang w:bidi="ar"/>
        </w:rPr>
        <w:tab/>
      </w:r>
      <w:r>
        <w:rPr>
          <w:rFonts w:hint="eastAsia" w:ascii="宋体" w:hAnsi="宋体" w:cs="宋体"/>
          <w:sz w:val="24"/>
          <w:lang w:bidi="ar"/>
        </w:rPr>
        <w:tab/>
      </w:r>
      <w:r>
        <w:rPr>
          <w:rFonts w:hint="eastAsia" w:ascii="宋体" w:hAnsi="宋体" w:cs="宋体"/>
          <w:sz w:val="24"/>
          <w:lang w:bidi="ar"/>
        </w:rPr>
        <w:t xml:space="preserve">          乙方：   （盖章）</w:t>
      </w:r>
    </w:p>
    <w:p w14:paraId="0F398FD2">
      <w:pPr>
        <w:snapToGrid w:val="0"/>
        <w:spacing w:line="360" w:lineRule="auto"/>
        <w:rPr>
          <w:rFonts w:hint="eastAsia" w:ascii="宋体" w:hAnsi="宋体" w:cs="宋体"/>
          <w:sz w:val="24"/>
        </w:rPr>
      </w:pPr>
      <w:r>
        <w:rPr>
          <w:rFonts w:hint="eastAsia" w:ascii="宋体" w:hAnsi="宋体" w:cs="宋体"/>
          <w:sz w:val="24"/>
          <w:lang w:bidi="ar"/>
        </w:rPr>
        <w:t xml:space="preserve">法定代表人（负责人）（授权代表）：    </w:t>
      </w:r>
      <w:r>
        <w:rPr>
          <w:rFonts w:hint="eastAsia" w:ascii="宋体" w:hAnsi="宋体" w:cs="宋体"/>
          <w:sz w:val="24"/>
          <w:lang w:val="en-US" w:eastAsia="zh-CN" w:bidi="ar"/>
        </w:rPr>
        <w:t xml:space="preserve"> </w:t>
      </w:r>
      <w:r>
        <w:rPr>
          <w:rFonts w:hint="eastAsia" w:ascii="宋体" w:hAnsi="宋体" w:cs="宋体"/>
          <w:sz w:val="24"/>
          <w:lang w:bidi="ar"/>
        </w:rPr>
        <w:t xml:space="preserve"> 法定代表人（负责人）（授权代表）：</w:t>
      </w:r>
    </w:p>
    <w:p w14:paraId="7834868C">
      <w:pPr>
        <w:snapToGrid w:val="0"/>
        <w:spacing w:line="360" w:lineRule="auto"/>
        <w:rPr>
          <w:rFonts w:hint="eastAsia" w:ascii="宋体" w:hAnsi="宋体" w:cs="宋体"/>
          <w:sz w:val="24"/>
        </w:rPr>
      </w:pPr>
      <w:r>
        <w:rPr>
          <w:rFonts w:hint="eastAsia" w:ascii="宋体" w:hAnsi="宋体" w:cs="宋体"/>
          <w:sz w:val="24"/>
          <w:lang w:bidi="ar"/>
        </w:rPr>
        <w:t>地    址：                            地    址：</w:t>
      </w:r>
    </w:p>
    <w:p w14:paraId="6D9ED751">
      <w:pPr>
        <w:snapToGrid w:val="0"/>
        <w:spacing w:line="360" w:lineRule="auto"/>
        <w:rPr>
          <w:rFonts w:hint="eastAsia" w:ascii="宋体" w:hAnsi="宋体" w:cs="宋体"/>
          <w:sz w:val="24"/>
        </w:rPr>
      </w:pPr>
      <w:r>
        <w:rPr>
          <w:rFonts w:hint="eastAsia" w:ascii="宋体" w:hAnsi="宋体" w:cs="宋体"/>
          <w:sz w:val="24"/>
          <w:lang w:bidi="ar"/>
        </w:rPr>
        <w:t>开户银行：                            开户银行：</w:t>
      </w:r>
    </w:p>
    <w:p w14:paraId="7CE21B40">
      <w:pPr>
        <w:snapToGrid w:val="0"/>
        <w:spacing w:line="360" w:lineRule="auto"/>
        <w:rPr>
          <w:rFonts w:hint="eastAsia" w:ascii="宋体" w:hAnsi="宋体" w:cs="宋体"/>
          <w:sz w:val="24"/>
        </w:rPr>
      </w:pPr>
      <w:r>
        <w:rPr>
          <w:rFonts w:hint="eastAsia" w:ascii="宋体" w:hAnsi="宋体" w:cs="宋体"/>
          <w:sz w:val="24"/>
          <w:lang w:bidi="ar"/>
        </w:rPr>
        <w:t>账号：                                账号：</w:t>
      </w:r>
    </w:p>
    <w:p w14:paraId="3670505E">
      <w:pPr>
        <w:snapToGrid w:val="0"/>
        <w:spacing w:line="360" w:lineRule="auto"/>
        <w:rPr>
          <w:rFonts w:hint="eastAsia" w:ascii="宋体" w:hAnsi="宋体" w:cs="宋体"/>
          <w:sz w:val="24"/>
        </w:rPr>
      </w:pPr>
      <w:r>
        <w:rPr>
          <w:rFonts w:hint="eastAsia" w:ascii="宋体" w:hAnsi="宋体" w:cs="宋体"/>
          <w:sz w:val="24"/>
          <w:lang w:bidi="ar"/>
        </w:rPr>
        <w:t xml:space="preserve">电    话：                            电    话：                       </w:t>
      </w:r>
    </w:p>
    <w:p w14:paraId="6D6877E9">
      <w:pPr>
        <w:pStyle w:val="6"/>
        <w:spacing w:after="0" w:line="360" w:lineRule="auto"/>
      </w:pPr>
      <w:r>
        <w:rPr>
          <w:rFonts w:hint="eastAsia" w:ascii="宋体" w:hAnsi="宋体" w:cs="宋体"/>
          <w:sz w:val="24"/>
          <w:lang w:bidi="ar"/>
        </w:rPr>
        <w:t>签约日期：</w:t>
      </w: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           签约日期：</w:t>
      </w: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AB90C1F"/>
    <w:multiLevelType w:val="multilevel"/>
    <w:tmpl w:val="5AB90C1F"/>
    <w:lvl w:ilvl="0" w:tentative="0">
      <w:start w:val="1"/>
      <w:numFmt w:val="chineseCountingThousand"/>
      <w:suff w:val="nothing"/>
      <w:lvlText w:val="(%1)"/>
      <w:lvlJc w:val="left"/>
      <w:pPr>
        <w:tabs>
          <w:tab w:val="left" w:pos="0"/>
        </w:tabs>
        <w:ind w:left="420" w:hanging="420"/>
      </w:pPr>
      <w:rPr>
        <w:sz w:val="21"/>
        <w:szCs w:val="21"/>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5FFD0832"/>
    <w:multiLevelType w:val="singleLevel"/>
    <w:tmpl w:val="5FFD083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MTdiZjdhYWZkMTEzYjNkMGQ0Mjg5NWE5NTIxNDMifQ=="/>
  </w:docVars>
  <w:rsids>
    <w:rsidRoot w:val="00000000"/>
    <w:rsid w:val="01617A8E"/>
    <w:rsid w:val="043D6D35"/>
    <w:rsid w:val="05137F6D"/>
    <w:rsid w:val="1AF347C3"/>
    <w:rsid w:val="214436A5"/>
    <w:rsid w:val="22762BF1"/>
    <w:rsid w:val="238E60AE"/>
    <w:rsid w:val="2A593B14"/>
    <w:rsid w:val="2BA25C56"/>
    <w:rsid w:val="2C4A4F9D"/>
    <w:rsid w:val="2CD068F8"/>
    <w:rsid w:val="475C1161"/>
    <w:rsid w:val="527821A3"/>
    <w:rsid w:val="5B873D00"/>
    <w:rsid w:val="5B8862D6"/>
    <w:rsid w:val="5ED40A65"/>
    <w:rsid w:val="5F7960F6"/>
    <w:rsid w:val="66EC7C29"/>
    <w:rsid w:val="70624D64"/>
    <w:rsid w:val="75135BF2"/>
    <w:rsid w:val="77A7562B"/>
    <w:rsid w:val="7B552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5">
    <w:name w:val="annotation text"/>
    <w:basedOn w:val="1"/>
    <w:qFormat/>
    <w:uiPriority w:val="0"/>
    <w:pPr>
      <w:jc w:val="left"/>
    </w:pPr>
  </w:style>
  <w:style w:type="paragraph" w:styleId="6">
    <w:name w:val="Body Text"/>
    <w:basedOn w:val="1"/>
    <w:next w:val="7"/>
    <w:qFormat/>
    <w:uiPriority w:val="0"/>
    <w:pPr>
      <w:spacing w:after="120"/>
    </w:pPr>
  </w:style>
  <w:style w:type="paragraph" w:styleId="7">
    <w:name w:val="Subtitle"/>
    <w:basedOn w:val="1"/>
    <w:next w:val="1"/>
    <w:qFormat/>
    <w:uiPriority w:val="0"/>
    <w:pPr>
      <w:spacing w:before="240" w:after="60" w:line="312" w:lineRule="auto"/>
      <w:jc w:val="center"/>
      <w:outlineLvl w:val="1"/>
    </w:pPr>
    <w:rPr>
      <w:rFonts w:ascii="Cambria" w:hAnsi="Cambria"/>
      <w:b/>
      <w:bCs/>
      <w:kern w:val="28"/>
      <w:szCs w:val="32"/>
    </w:rPr>
  </w:style>
  <w:style w:type="paragraph" w:styleId="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1">
    <w:name w:val="样式 首行缩进:  2 字符"/>
    <w:basedOn w:val="1"/>
    <w:qFormat/>
    <w:uiPriority w:val="0"/>
    <w:pPr>
      <w:spacing w:line="400" w:lineRule="exact"/>
      <w:ind w:firstLine="200" w:firstLineChars="200"/>
    </w:pPr>
    <w:rPr>
      <w:rFonts w:cs="宋体"/>
      <w:sz w:val="24"/>
    </w:rPr>
  </w:style>
  <w:style w:type="paragraph" w:customStyle="1" w:styleId="12">
    <w:name w:val="msolistparagraph"/>
    <w:basedOn w:val="1"/>
    <w:qFormat/>
    <w:uiPriority w:val="0"/>
    <w:pPr>
      <w:ind w:firstLine="420" w:firstLineChars="200"/>
    </w:pPr>
    <w:rPr>
      <w:rFonts w:ascii="Calibri" w:hAnsi="Calibri" w:cs="Calibri"/>
      <w:szCs w:val="22"/>
    </w:rPr>
  </w:style>
  <w:style w:type="paragraph" w:customStyle="1" w:styleId="13">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3559</Words>
  <Characters>3635</Characters>
  <Lines>0</Lines>
  <Paragraphs>0</Paragraphs>
  <TotalTime>5</TotalTime>
  <ScaleCrop>false</ScaleCrop>
  <LinksUpToDate>false</LinksUpToDate>
  <CharactersWithSpaces>4162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凸^-^凸</cp:lastModifiedBy>
  <cp:lastPrinted>2025-07-07T03:32:00Z</cp:lastPrinted>
  <dcterms:modified xsi:type="dcterms:W3CDTF">2025-10-21T06:13:22Z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4C08586EE28F482D91880D1C57A85DBF_13</vt:lpwstr>
  </property>
  <property fmtid="{D5CDD505-2E9C-101B-9397-08002B2CF9AE}" pid="4" name="KSOTemplateDocerSaveRecord">
    <vt:lpwstr>eyJoZGlkIjoiMGI0OGE5MTEyNTFlYzFkMGM2MTFkZDQ5MzE2YmQ1MDkiLCJ1c2VySWQiOiI3NjM4MDgwMjcifQ==</vt:lpwstr>
  </property>
</Properties>
</file>