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3A62">
      <w:pPr>
        <w:pStyle w:val="4"/>
        <w:jc w:val="center"/>
        <w:rPr>
          <w:rFonts w:hint="eastAsia" w:ascii="宋体" w:hAnsi="宋体" w:cs="宋体"/>
          <w:sz w:val="36"/>
          <w:szCs w:val="36"/>
        </w:rPr>
      </w:pPr>
      <w:bookmarkStart w:id="0" w:name="_Toc517447495"/>
      <w:r>
        <w:rPr>
          <w:rFonts w:hint="eastAsia" w:ascii="宋体" w:hAnsi="宋体" w:cs="宋体"/>
          <w:sz w:val="36"/>
          <w:szCs w:val="36"/>
        </w:rPr>
        <w:t>第八章  采购合同（草案）</w:t>
      </w:r>
      <w:bookmarkEnd w:id="0"/>
    </w:p>
    <w:p w14:paraId="05207E9F">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bookmarkStart w:id="1" w:name="_Hlt101846155"/>
      <w:bookmarkEnd w:id="1"/>
      <w:bookmarkStart w:id="2" w:name="_Toc349810624"/>
      <w:bookmarkStart w:id="3" w:name="_Toc350864527"/>
      <w:r>
        <w:rPr>
          <w:rFonts w:hint="eastAsia" w:ascii="宋体" w:hAnsi="宋体"/>
        </w:rPr>
        <w:t xml:space="preserve">合同编号：XXX                                         </w:t>
      </w:r>
    </w:p>
    <w:p w14:paraId="39F9263E">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签订地点：XXX                                                                                  </w:t>
      </w:r>
    </w:p>
    <w:p w14:paraId="3BF7621B">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采购人（甲方）：XXX                                          </w:t>
      </w:r>
    </w:p>
    <w:p w14:paraId="1A8C9818">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供应商（乙方）：XXX                                          </w:t>
      </w:r>
      <w:r>
        <w:rPr>
          <w:rFonts w:hint="eastAsia" w:ascii="宋体" w:hAnsi="宋体"/>
          <w:lang w:bidi="ar"/>
        </w:rPr>
        <w:t xml:space="preserve">                               </w:t>
      </w:r>
    </w:p>
    <w:p w14:paraId="10887FB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cs="宋体"/>
          <w:kern w:val="2"/>
          <w:sz w:val="24"/>
          <w:szCs w:val="24"/>
          <w:lang w:bidi="ar"/>
        </w:rPr>
      </w:pPr>
      <w:r>
        <w:rPr>
          <w:rFonts w:hint="eastAsia" w:cs="宋体"/>
          <w:kern w:val="2"/>
          <w:sz w:val="24"/>
          <w:szCs w:val="24"/>
          <w:lang w:bidi="ar"/>
        </w:rPr>
        <w:t>根据《中华人民共和国民法典》及</w:t>
      </w:r>
      <w:r>
        <w:rPr>
          <w:rFonts w:hint="eastAsia" w:cs="宋体"/>
          <w:kern w:val="2"/>
          <w:sz w:val="24"/>
          <w:szCs w:val="24"/>
          <w:u w:val="single"/>
          <w:lang w:bidi="ar"/>
        </w:rPr>
        <w:t xml:space="preserve">            </w:t>
      </w:r>
      <w:r>
        <w:rPr>
          <w:rFonts w:hint="eastAsia" w:cs="宋体"/>
          <w:kern w:val="2"/>
          <w:sz w:val="24"/>
          <w:szCs w:val="24"/>
          <w:lang w:bidi="ar"/>
        </w:rPr>
        <w:t>采购项目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6BF3414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第一条 项目基本情况</w:t>
      </w:r>
    </w:p>
    <w:p w14:paraId="1996D68B">
      <w:pPr>
        <w:keepNext w:val="0"/>
        <w:keepLines w:val="0"/>
        <w:pageBreakBefore w:val="0"/>
        <w:kinsoku/>
        <w:wordWrap/>
        <w:overflowPunct/>
        <w:topLinePunct w:val="0"/>
        <w:autoSpaceDE/>
        <w:autoSpaceDN/>
        <w:bidi w:val="0"/>
        <w:snapToGrid w:val="0"/>
        <w:spacing w:line="360" w:lineRule="auto"/>
        <w:ind w:left="0" w:leftChars="0" w:firstLine="480" w:firstLineChars="200"/>
        <w:rPr>
          <w:rFonts w:hint="eastAsia" w:ascii="宋体" w:hAnsi="宋体" w:cs="宋体"/>
          <w:b w:val="0"/>
          <w:bCs/>
          <w:sz w:val="24"/>
          <w:lang w:val="en-US" w:eastAsia="zh-CN" w:bidi="ar"/>
        </w:rPr>
      </w:pPr>
      <w:r>
        <w:rPr>
          <w:rFonts w:hint="eastAsia" w:ascii="宋体" w:hAnsi="宋体" w:cs="宋体"/>
          <w:b w:val="0"/>
          <w:bCs/>
          <w:sz w:val="24"/>
          <w:lang w:val="en-US" w:eastAsia="zh-CN" w:bidi="ar"/>
        </w:rPr>
        <w:t>1、项目概况：该项目占地面积约86.8亩，拟修建约1692套，总建筑面积约218351.13平方米（其中：地上计容建筑面积172342.93平方米，地下室建筑面积41210.62平方米），包括住宅（1~12#楼，层数为24层）、3栋商业（层数为2层）、垃圾用房（层数为1层）、配套用房、道路、照明、管网、安防、消防等配套设施。</w:t>
      </w:r>
    </w:p>
    <w:p w14:paraId="070C93B3">
      <w:pPr>
        <w:keepNext w:val="0"/>
        <w:keepLines w:val="0"/>
        <w:pageBreakBefore w:val="0"/>
        <w:kinsoku/>
        <w:wordWrap/>
        <w:overflowPunct/>
        <w:topLinePunct w:val="0"/>
        <w:autoSpaceDE/>
        <w:autoSpaceDN/>
        <w:bidi w:val="0"/>
        <w:snapToGrid w:val="0"/>
        <w:spacing w:line="360" w:lineRule="auto"/>
        <w:ind w:left="0" w:leftChars="0" w:firstLine="480" w:firstLineChars="200"/>
        <w:rPr>
          <w:rFonts w:hint="eastAsia" w:ascii="宋体" w:hAnsi="宋体" w:cs="宋体"/>
          <w:b/>
          <w:sz w:val="24"/>
          <w:lang w:val="en-US" w:eastAsia="zh-CN" w:bidi="ar"/>
        </w:rPr>
      </w:pPr>
      <w:r>
        <w:rPr>
          <w:rFonts w:hint="eastAsia" w:ascii="宋体" w:hAnsi="宋体" w:cs="宋体"/>
          <w:b w:val="0"/>
          <w:bCs/>
          <w:sz w:val="24"/>
          <w:lang w:val="en-US" w:eastAsia="zh-CN" w:bidi="ar"/>
        </w:rPr>
        <w:t>2、项目地点：广汉市。</w:t>
      </w:r>
    </w:p>
    <w:p w14:paraId="1F5B288F">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第二条 合同期限</w:t>
      </w:r>
    </w:p>
    <w:p w14:paraId="2182F7DC">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lang w:val="en-US" w:eastAsia="zh-CN" w:bidi="ar"/>
        </w:rPr>
      </w:pPr>
      <w:bookmarkStart w:id="4" w:name="_Toc239568418"/>
      <w:bookmarkStart w:id="5" w:name="_Toc212019594"/>
      <w:bookmarkStart w:id="6" w:name="_Toc286993786"/>
      <w:bookmarkStart w:id="7" w:name="_Toc239233914"/>
      <w:bookmarkStart w:id="8" w:name="_Toc241833903"/>
      <w:bookmarkStart w:id="9" w:name="_Toc225244852"/>
      <w:bookmarkStart w:id="10" w:name="_Toc282696226"/>
      <w:bookmarkStart w:id="11" w:name="_Toc185395249"/>
      <w:bookmarkStart w:id="12" w:name="_Toc251768862"/>
      <w:bookmarkStart w:id="13" w:name="_Toc211854449"/>
      <w:bookmarkStart w:id="14" w:name="_Toc211911348"/>
      <w:bookmarkStart w:id="15" w:name="_Toc225654644"/>
      <w:bookmarkStart w:id="16" w:name="_Toc237145406"/>
      <w:bookmarkStart w:id="17" w:name="_Toc283019214"/>
      <w:bookmarkStart w:id="18" w:name="_Toc232492928"/>
      <w:bookmarkStart w:id="19" w:name="_Toc225670751"/>
      <w:bookmarkStart w:id="20" w:name="_Toc247334841"/>
      <w:bookmarkStart w:id="21" w:name="_Toc238984975"/>
      <w:r>
        <w:rPr>
          <w:rFonts w:hint="eastAsia" w:ascii="宋体" w:hAnsi="宋体" w:cs="宋体"/>
          <w:b w:val="0"/>
          <w:bCs/>
          <w:sz w:val="24"/>
          <w:lang w:val="en-US" w:eastAsia="zh-CN" w:bidi="ar"/>
        </w:rPr>
        <w:t>本合同生效后，发包人提供基础资料后20日历天内完成水土保持方案报告书编制工作，配合发包人取得相应批复后10日内完成水土保持监测方案，水土保持监测自项目开工至完成竣工验收，并提交监测成果</w:t>
      </w:r>
      <w:r>
        <w:rPr>
          <w:rFonts w:hint="eastAsia" w:ascii="宋体" w:hAnsi="宋体" w:cs="宋体"/>
          <w:b w:val="0"/>
          <w:bCs/>
          <w:sz w:val="24"/>
          <w:lang w:eastAsia="zh-CN" w:bidi="ar"/>
        </w:rPr>
        <w:t>。</w:t>
      </w:r>
    </w:p>
    <w:p w14:paraId="79789FFA">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第三条 服务内容（技术指标和服务需求）</w:t>
      </w:r>
    </w:p>
    <w:p w14:paraId="2391A1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bidi="ar"/>
        </w:rPr>
        <w:t>1、</w:t>
      </w:r>
      <w:r>
        <w:rPr>
          <w:rFonts w:hint="eastAsia" w:ascii="宋体" w:hAnsi="宋体" w:cs="宋体"/>
          <w:sz w:val="24"/>
          <w:lang w:eastAsia="zh-CN" w:bidi="ar"/>
        </w:rPr>
        <w:t>水土保持方案内容：</w:t>
      </w:r>
    </w:p>
    <w:p w14:paraId="48396F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（1）按相关要求编制、取得相应批复文件和提供后续服务。</w:t>
      </w:r>
    </w:p>
    <w:p w14:paraId="3B58A0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（2）应具有真实性、准确性、易实施的特点，能为后期决策提供准确信息。</w:t>
      </w:r>
    </w:p>
    <w:p w14:paraId="2A72DD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（3）完成的成果文件必须满足国家现行的方针、政策、法律、法规，符合工程建设强制性条文的要求；同时完成的成果文件应达到相关规定的深度，假如不能满足要求，由乙方负责完善至符合要求为止。</w:t>
      </w:r>
    </w:p>
    <w:p w14:paraId="39A0A7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（4）提交项目的成果文件必须符合相关规定，通过行政主管部门审批并取得批复文件。</w:t>
      </w:r>
    </w:p>
    <w:p w14:paraId="751991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cs="宋体"/>
          <w:sz w:val="24"/>
          <w:lang w:eastAsia="zh-CN" w:bidi="ar"/>
        </w:rPr>
        <w:t>（5）项目完成后，提交正式成果文件。</w:t>
      </w:r>
    </w:p>
    <w:p w14:paraId="772DCA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lang w:bidi="ar"/>
        </w:rPr>
      </w:pPr>
      <w:r>
        <w:rPr>
          <w:rFonts w:hint="eastAsia" w:ascii="宋体" w:hAnsi="宋体" w:cs="宋体"/>
          <w:sz w:val="24"/>
          <w:lang w:val="en-US" w:eastAsia="zh-CN" w:bidi="ar"/>
        </w:rPr>
        <w:t>2、</w:t>
      </w:r>
      <w:r>
        <w:rPr>
          <w:rFonts w:hint="eastAsia" w:ascii="宋体" w:hAnsi="宋体" w:cs="宋体"/>
          <w:bCs/>
          <w:sz w:val="24"/>
          <w:lang w:bidi="ar"/>
        </w:rPr>
        <w:t>水土保持监测内容：</w:t>
      </w:r>
    </w:p>
    <w:p w14:paraId="2582E78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lang w:bidi="ar"/>
        </w:rPr>
      </w:pPr>
      <w:r>
        <w:rPr>
          <w:rFonts w:hint="eastAsia" w:ascii="宋体" w:hAnsi="宋体" w:cs="宋体"/>
          <w:bCs/>
          <w:sz w:val="24"/>
          <w:lang w:eastAsia="zh-CN" w:bidi="ar"/>
        </w:rPr>
        <w:t>（</w:t>
      </w:r>
      <w:r>
        <w:rPr>
          <w:rFonts w:hint="eastAsia" w:ascii="宋体" w:hAnsi="宋体" w:cs="宋体"/>
          <w:bCs/>
          <w:sz w:val="24"/>
          <w:lang w:val="en-US" w:eastAsia="zh-CN" w:bidi="ar"/>
        </w:rPr>
        <w:t>1）</w:t>
      </w:r>
      <w:r>
        <w:rPr>
          <w:rFonts w:hint="eastAsia" w:ascii="宋体" w:hAnsi="宋体" w:cs="宋体"/>
          <w:bCs/>
          <w:sz w:val="24"/>
          <w:lang w:bidi="ar"/>
        </w:rPr>
        <w:t>水土流失影响因子监测；项目区水土流失背景值监测；项目区水土保持生态环境变化监测；水土流失量及变化情况的监测；水土流失危害的监测；水土流失防治效果动态监测。</w:t>
      </w:r>
    </w:p>
    <w:p w14:paraId="249B3D19">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sz w:val="24"/>
          <w:lang w:val="en-US" w:eastAsia="zh-CN" w:bidi="ar"/>
        </w:rPr>
        <w:t>（2）</w:t>
      </w:r>
      <w:r>
        <w:rPr>
          <w:rFonts w:hint="eastAsia" w:ascii="宋体" w:hAnsi="宋体" w:eastAsia="宋体" w:cs="宋体"/>
          <w:bCs/>
          <w:kern w:val="2"/>
          <w:sz w:val="24"/>
          <w:szCs w:val="24"/>
          <w:lang w:val="en-US" w:eastAsia="zh-CN" w:bidi="ar"/>
        </w:rPr>
        <w:t>编制依据与技术标准</w:t>
      </w:r>
    </w:p>
    <w:p w14:paraId="121E05AB">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①</w:t>
      </w:r>
      <w:r>
        <w:rPr>
          <w:rFonts w:hint="eastAsia" w:ascii="宋体" w:hAnsi="宋体" w:eastAsia="宋体" w:cs="宋体"/>
          <w:bCs/>
          <w:kern w:val="2"/>
          <w:sz w:val="24"/>
          <w:szCs w:val="24"/>
          <w:lang w:val="en-US" w:eastAsia="zh-CN" w:bidi="ar"/>
        </w:rPr>
        <w:t>《中华人民共和国水土保持法》（中华人民共和国主席令第39号，1991年6月29 日颁布，2010年12月25日修订，2011年3月1日起施行）；</w:t>
      </w:r>
    </w:p>
    <w:p w14:paraId="01FF50DD">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②</w:t>
      </w:r>
      <w:r>
        <w:rPr>
          <w:rFonts w:hint="eastAsia" w:ascii="宋体" w:hAnsi="宋体" w:eastAsia="宋体" w:cs="宋体"/>
          <w:bCs/>
          <w:kern w:val="2"/>
          <w:sz w:val="24"/>
          <w:szCs w:val="24"/>
          <w:lang w:val="en-US" w:eastAsia="zh-CN" w:bidi="ar"/>
        </w:rPr>
        <w:t>《四川省&lt;中华人民共和国水土保持法&gt;实施办法》（1993年12月15日通过，1997年10月17日修正，2012年9月21日修订，2012年12月1日实施）；</w:t>
      </w:r>
    </w:p>
    <w:p w14:paraId="71F0652C">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③</w:t>
      </w:r>
      <w:r>
        <w:rPr>
          <w:rFonts w:hint="eastAsia" w:ascii="宋体" w:hAnsi="宋体" w:eastAsia="宋体" w:cs="宋体"/>
          <w:bCs/>
          <w:kern w:val="2"/>
          <w:sz w:val="24"/>
          <w:szCs w:val="24"/>
          <w:lang w:val="en-US" w:eastAsia="zh-CN" w:bidi="ar"/>
        </w:rPr>
        <w:t>《中华人民共和国土地管理法》（中华人民共和国主席令第28号，2004 年8月28日修订）。</w:t>
      </w:r>
    </w:p>
    <w:p w14:paraId="17CF206A">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④</w:t>
      </w:r>
      <w:r>
        <w:rPr>
          <w:rFonts w:hint="eastAsia" w:ascii="宋体" w:hAnsi="宋体" w:eastAsia="宋体" w:cs="宋体"/>
          <w:bCs/>
          <w:kern w:val="2"/>
          <w:sz w:val="24"/>
          <w:szCs w:val="24"/>
          <w:lang w:val="en-US" w:eastAsia="zh-CN" w:bidi="ar"/>
        </w:rPr>
        <w:t>《生产建设项目水土保持技术标准》（GB50433-2018）；</w:t>
      </w:r>
    </w:p>
    <w:p w14:paraId="43B79DDB">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⑤</w:t>
      </w:r>
      <w:r>
        <w:rPr>
          <w:rFonts w:hint="eastAsia" w:ascii="宋体" w:hAnsi="宋体" w:eastAsia="宋体" w:cs="宋体"/>
          <w:bCs/>
          <w:kern w:val="2"/>
          <w:sz w:val="24"/>
          <w:szCs w:val="24"/>
          <w:lang w:val="en-US" w:eastAsia="zh-CN" w:bidi="ar"/>
        </w:rPr>
        <w:t>《生产建设项目水土流失防治标准》（GB/T 50434-2018）；</w:t>
      </w:r>
    </w:p>
    <w:p w14:paraId="284671DC">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⑥</w:t>
      </w:r>
      <w:r>
        <w:rPr>
          <w:rFonts w:hint="eastAsia" w:ascii="宋体" w:hAnsi="宋体" w:eastAsia="宋体" w:cs="宋体"/>
          <w:bCs/>
          <w:kern w:val="2"/>
          <w:sz w:val="24"/>
          <w:szCs w:val="24"/>
          <w:lang w:val="en-US" w:eastAsia="zh-CN" w:bidi="ar"/>
        </w:rPr>
        <w:t>《水土保持工程设计规范》（GB51018-2014）；</w:t>
      </w:r>
    </w:p>
    <w:p w14:paraId="07FD85D3">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⑦</w:t>
      </w:r>
      <w:r>
        <w:rPr>
          <w:rFonts w:hint="eastAsia" w:ascii="宋体" w:hAnsi="宋体" w:eastAsia="宋体" w:cs="宋体"/>
          <w:bCs/>
          <w:kern w:val="2"/>
          <w:sz w:val="24"/>
          <w:szCs w:val="24"/>
          <w:lang w:val="en-US" w:eastAsia="zh-CN" w:bidi="ar"/>
        </w:rPr>
        <w:t>《水土保持综合治理效益计算方法》（GB/T15774-2008）；</w:t>
      </w:r>
    </w:p>
    <w:p w14:paraId="71A906C8">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⑧</w:t>
      </w:r>
      <w:r>
        <w:rPr>
          <w:rFonts w:hint="eastAsia" w:ascii="宋体" w:hAnsi="宋体" w:eastAsia="宋体" w:cs="宋体"/>
          <w:bCs/>
          <w:kern w:val="2"/>
          <w:sz w:val="24"/>
          <w:szCs w:val="24"/>
          <w:lang w:val="en-US" w:eastAsia="zh-CN" w:bidi="ar"/>
        </w:rPr>
        <w:t>《水土保持综合治理技术规范》（GB/T16453.1~15463.6-2008）；</w:t>
      </w:r>
    </w:p>
    <w:p w14:paraId="1148FFA6">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⑨</w:t>
      </w:r>
      <w:r>
        <w:rPr>
          <w:rFonts w:hint="eastAsia" w:ascii="宋体" w:hAnsi="宋体" w:eastAsia="宋体" w:cs="宋体"/>
          <w:bCs/>
          <w:kern w:val="2"/>
          <w:sz w:val="24"/>
          <w:szCs w:val="24"/>
          <w:lang w:val="en-US" w:eastAsia="zh-CN" w:bidi="ar"/>
        </w:rPr>
        <w:t>《土壤侵蚀分类分级标准》（SL190-2007）；</w:t>
      </w:r>
    </w:p>
    <w:p w14:paraId="03B4B635">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⑩</w:t>
      </w:r>
      <w:r>
        <w:rPr>
          <w:rFonts w:hint="eastAsia" w:ascii="宋体" w:hAnsi="宋体" w:eastAsia="宋体" w:cs="宋体"/>
          <w:bCs/>
          <w:kern w:val="2"/>
          <w:sz w:val="24"/>
          <w:szCs w:val="24"/>
          <w:lang w:val="en-US" w:eastAsia="zh-CN" w:bidi="ar"/>
        </w:rPr>
        <w:t>《土地利用现状分类》（GB/T21010-2017）；</w:t>
      </w:r>
    </w:p>
    <w:p w14:paraId="541E3E72">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⑪《水土保持试验规程》（SL419-2007）；</w:t>
      </w:r>
    </w:p>
    <w:p w14:paraId="094404F5">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⑫《水土保持监测设施通用技术条件》（SL342-2006）；</w:t>
      </w:r>
    </w:p>
    <w:p w14:paraId="05A07E95">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⑬《开发建设项目水土保持设施验收技术规程》（GB/T22490-2008）；</w:t>
      </w:r>
    </w:p>
    <w:p w14:paraId="628CDF0A">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⑭《水土保持工程调查与勘测标准》（GBT51297-2018）。</w:t>
      </w:r>
    </w:p>
    <w:p w14:paraId="7E9B0F91">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⑮《生产建设项目水土保持监测与评价标准》（GB/T51240-2018）</w:t>
      </w:r>
    </w:p>
    <w:p w14:paraId="0FB3E06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rPr>
      </w:pPr>
      <w:r>
        <w:rPr>
          <w:rFonts w:hint="eastAsia" w:ascii="宋体" w:hAnsi="宋体" w:eastAsia="宋体" w:cs="宋体"/>
          <w:bCs/>
          <w:kern w:val="2"/>
          <w:sz w:val="24"/>
          <w:szCs w:val="24"/>
          <w:lang w:val="en-US" w:eastAsia="zh-CN" w:bidi="ar"/>
        </w:rPr>
        <w:t>按以上标准及其他相关要求规定，对本项目相关内容进行监测。</w:t>
      </w:r>
    </w:p>
    <w:p w14:paraId="7B20CD24">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sz w:val="24"/>
          <w:lang w:bidi="ar"/>
        </w:rPr>
        <w:t>3、</w:t>
      </w:r>
      <w:r>
        <w:rPr>
          <w:rFonts w:hint="eastAsia" w:ascii="宋体" w:hAnsi="宋体" w:eastAsia="宋体" w:cs="宋体"/>
          <w:bCs/>
          <w:kern w:val="2"/>
          <w:sz w:val="24"/>
          <w:szCs w:val="24"/>
          <w:lang w:val="en-US" w:eastAsia="zh-CN" w:bidi="ar"/>
        </w:rPr>
        <w:t>成果及要求</w:t>
      </w:r>
    </w:p>
    <w:p w14:paraId="027D1D35">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（1）水土保持方案：</w:t>
      </w:r>
    </w:p>
    <w:p w14:paraId="04412B7A">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①提交的报告应符合国家技术规范、标准、规程及业主提出的要求，并通过相关行业主管部门的审查，取得具有审批权限的行政主管部门关于本项目水土保持方案编制报告的批复意见。</w:t>
      </w:r>
    </w:p>
    <w:p w14:paraId="08A4C158">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按照《开发建设项目水土保持技术规范》《开发建设项目水土保持方案编报审批管理规定》的要求，根据项目环境的要求和结合线路布置、各单项施工工艺等特点，在预测新增水土流失及其危害的基础上，坚持“预防为主、全面规划、综合防治、因地制宜、加强管理、注重效益”的水土保持方针，结合本项目的特点进行编制。</w:t>
      </w:r>
    </w:p>
    <w:p w14:paraId="480FBAA9">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（2）</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w:t>
      </w:r>
      <w:r>
        <w:rPr>
          <w:rFonts w:hint="eastAsia" w:ascii="宋体" w:hAnsi="宋体" w:eastAsia="宋体" w:cs="宋体"/>
          <w:bCs/>
          <w:kern w:val="2"/>
          <w:sz w:val="24"/>
          <w:szCs w:val="24"/>
          <w:lang w:val="en-US" w:eastAsia="zh-CN" w:bidi="ar"/>
        </w:rPr>
        <w:t>项目监测应充分反映施工过程，对施工前后项目区水土流失状况，实施水土保持临时防护措施和永久措施的时间、数量、防护效果等，应作详细记录，并拍摄现场照片或录像，并存档管理。在工程建设过程中水土保持监测应形成《水土保持监测季度报告》定期报送我司及主管部门。</w:t>
      </w:r>
    </w:p>
    <w:p w14:paraId="144665FE">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4、成果内容</w:t>
      </w:r>
    </w:p>
    <w:p w14:paraId="25BA395F">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（1）水土保持方案：</w:t>
      </w:r>
    </w:p>
    <w:p w14:paraId="6B14AF75">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①完成项目工程水土保持方案编制，并取得该项目的水土保持方案的批复。</w:t>
      </w:r>
    </w:p>
    <w:p w14:paraId="2DD2698D">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②需成果资料纸质版6份，电子文档1份。</w:t>
      </w:r>
    </w:p>
    <w:p w14:paraId="35E24A55">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default" w:ascii="宋体" w:hAnsi="宋体" w:cs="宋体"/>
          <w:bCs/>
          <w:kern w:val="2"/>
          <w:sz w:val="24"/>
          <w:szCs w:val="24"/>
          <w:lang w:val="en-US" w:eastAsia="zh-CN" w:bidi="ar"/>
        </w:rPr>
      </w:pPr>
      <w:r>
        <w:rPr>
          <w:rFonts w:hint="eastAsia" w:ascii="宋体" w:hAnsi="宋体" w:cs="宋体"/>
          <w:bCs/>
          <w:kern w:val="2"/>
          <w:sz w:val="24"/>
          <w:szCs w:val="24"/>
          <w:lang w:val="en-US" w:eastAsia="zh-CN" w:bidi="ar"/>
        </w:rPr>
        <w:t>（2）</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w:t>
      </w:r>
    </w:p>
    <w:p w14:paraId="4C6C3513">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default"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①</w:t>
      </w:r>
      <w:r>
        <w:rPr>
          <w:rFonts w:hint="eastAsia" w:ascii="宋体" w:hAnsi="宋体" w:eastAsia="宋体" w:cs="宋体"/>
          <w:bCs/>
          <w:kern w:val="2"/>
          <w:sz w:val="24"/>
          <w:szCs w:val="24"/>
          <w:lang w:val="en-US" w:eastAsia="zh-CN" w:bidi="ar"/>
        </w:rPr>
        <w:t>水土保持监测成果应包括</w:t>
      </w:r>
      <w:r>
        <w:rPr>
          <w:rFonts w:hint="eastAsia" w:ascii="宋体" w:hAnsi="宋体" w:cs="宋体"/>
          <w:bCs/>
          <w:kern w:val="2"/>
          <w:sz w:val="24"/>
          <w:szCs w:val="24"/>
          <w:lang w:val="en-US" w:eastAsia="zh-CN" w:bidi="ar"/>
        </w:rPr>
        <w:t>但不限于</w:t>
      </w:r>
      <w:r>
        <w:rPr>
          <w:rFonts w:hint="eastAsia" w:ascii="宋体" w:hAnsi="宋体" w:eastAsia="宋体" w:cs="宋体"/>
          <w:bCs/>
          <w:kern w:val="2"/>
          <w:sz w:val="24"/>
          <w:szCs w:val="24"/>
          <w:lang w:val="en-US" w:eastAsia="zh-CN" w:bidi="ar"/>
        </w:rPr>
        <w:t>水土保持监测实施方案、监测报告</w:t>
      </w:r>
      <w:r>
        <w:rPr>
          <w:rFonts w:hint="eastAsia" w:ascii="宋体" w:hAnsi="宋体" w:cs="宋体"/>
          <w:bCs/>
          <w:kern w:val="2"/>
          <w:sz w:val="24"/>
          <w:szCs w:val="24"/>
          <w:lang w:val="en-US" w:eastAsia="zh-CN" w:bidi="ar"/>
        </w:rPr>
        <w:t>（含季度监测报告、总结报告等）</w:t>
      </w:r>
      <w:r>
        <w:rPr>
          <w:rFonts w:hint="eastAsia" w:ascii="宋体" w:hAnsi="宋体" w:eastAsia="宋体" w:cs="宋体"/>
          <w:bCs/>
          <w:kern w:val="2"/>
          <w:sz w:val="24"/>
          <w:szCs w:val="24"/>
          <w:lang w:val="en-US" w:eastAsia="zh-CN" w:bidi="ar"/>
        </w:rPr>
        <w:t>、图件、数据表和影像资料等。</w:t>
      </w:r>
    </w:p>
    <w:p w14:paraId="1BAF28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bCs/>
          <w:kern w:val="2"/>
          <w:sz w:val="24"/>
          <w:szCs w:val="24"/>
          <w:lang w:val="en-US" w:eastAsia="zh-CN" w:bidi="ar"/>
        </w:rPr>
        <w:t>②</w:t>
      </w:r>
      <w:r>
        <w:rPr>
          <w:rFonts w:hint="eastAsia" w:ascii="宋体" w:hAnsi="宋体" w:eastAsia="宋体" w:cs="宋体"/>
          <w:bCs/>
          <w:kern w:val="2"/>
          <w:sz w:val="24"/>
          <w:szCs w:val="24"/>
          <w:lang w:val="en-US" w:eastAsia="zh-CN" w:bidi="ar"/>
        </w:rPr>
        <w:t>水土保持监测成果应按照档案管理相关规定建立档案。监测成果必须符合水土保持有关的技术规程、规范要求。监测成果应是按照所用监测方法的操作规程进行监测，以记实的方式，根据有关规范，结合实际情况，</w:t>
      </w:r>
      <w:r>
        <w:rPr>
          <w:rFonts w:hint="eastAsia" w:ascii="宋体" w:hAnsi="宋体" w:cs="宋体"/>
          <w:bCs/>
          <w:sz w:val="24"/>
          <w:lang w:bidi="ar"/>
        </w:rPr>
        <w:t>出具正式监测报告（纸质版3份，电子版1份）。</w:t>
      </w:r>
    </w:p>
    <w:p w14:paraId="0D1C5AD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第四条 服务费用及付款条件（进度和方式）</w:t>
      </w:r>
    </w:p>
    <w:p w14:paraId="317074E7">
      <w:pPr>
        <w:keepNext w:val="0"/>
        <w:keepLines w:val="0"/>
        <w:pageBreakBefore w:val="0"/>
        <w:numPr>
          <w:ilvl w:val="0"/>
          <w:numId w:val="2"/>
        </w:numPr>
        <w:kinsoku/>
        <w:wordWrap/>
        <w:overflowPunct/>
        <w:topLinePunct w:val="0"/>
        <w:autoSpaceDE/>
        <w:autoSpaceDN/>
        <w:bidi w:val="0"/>
        <w:snapToGrid w:val="0"/>
        <w:spacing w:line="360" w:lineRule="auto"/>
        <w:ind w:left="0" w:firstLine="567"/>
        <w:rPr>
          <w:rFonts w:hint="eastAsia" w:ascii="宋体" w:hAnsi="宋体" w:cs="宋体"/>
          <w:b/>
          <w:sz w:val="24"/>
        </w:rPr>
      </w:pPr>
      <w:r>
        <w:rPr>
          <w:rFonts w:hint="eastAsia" w:ascii="宋体" w:hAnsi="宋体" w:cs="宋体"/>
          <w:b/>
          <w:sz w:val="24"/>
          <w:lang w:bidi="ar"/>
        </w:rPr>
        <w:t>本项目服务费:</w:t>
      </w:r>
    </w:p>
    <w:p w14:paraId="53C3189D">
      <w:pPr>
        <w:keepNext w:val="0"/>
        <w:keepLines w:val="0"/>
        <w:pageBreakBefore w:val="0"/>
        <w:numPr>
          <w:ilvl w:val="0"/>
          <w:numId w:val="3"/>
        </w:numPr>
        <w:kinsoku/>
        <w:wordWrap/>
        <w:overflowPunct/>
        <w:topLinePunct w:val="0"/>
        <w:autoSpaceDE/>
        <w:autoSpaceDN/>
        <w:bidi w:val="0"/>
        <w:snapToGrid w:val="0"/>
        <w:spacing w:line="360" w:lineRule="auto"/>
        <w:ind w:firstLine="480" w:firstLineChars="200"/>
        <w:rPr>
          <w:rFonts w:hint="eastAsia" w:ascii="宋体" w:hAnsi="宋体" w:cs="宋体"/>
          <w:sz w:val="24"/>
          <w:lang w:bidi="ar"/>
        </w:rPr>
      </w:pPr>
      <w:r>
        <w:rPr>
          <w:rFonts w:hint="eastAsia" w:ascii="宋体" w:hAnsi="宋体" w:cs="宋体"/>
          <w:bCs/>
          <w:kern w:val="2"/>
          <w:sz w:val="24"/>
          <w:szCs w:val="24"/>
          <w:lang w:val="en-US" w:eastAsia="zh-CN" w:bidi="ar"/>
        </w:rPr>
        <w:t>水土保持方案：</w:t>
      </w:r>
      <w:r>
        <w:rPr>
          <w:rFonts w:hint="eastAsia" w:ascii="宋体" w:hAnsi="宋体" w:cs="宋体"/>
          <w:sz w:val="24"/>
          <w:lang w:bidi="ar"/>
        </w:rPr>
        <w:t>XX元；（大写：</w:t>
      </w:r>
      <w:r>
        <w:rPr>
          <w:rFonts w:hint="eastAsia" w:ascii="宋体" w:hAnsi="宋体" w:cs="宋体"/>
          <w:sz w:val="24"/>
          <w:lang w:val="en-US" w:eastAsia="zh-CN" w:bidi="ar"/>
        </w:rPr>
        <w:t xml:space="preserve">        </w:t>
      </w:r>
      <w:r>
        <w:rPr>
          <w:rFonts w:hint="eastAsia" w:ascii="宋体" w:hAnsi="宋体" w:cs="宋体"/>
          <w:sz w:val="24"/>
          <w:lang w:bidi="ar"/>
        </w:rPr>
        <w:t>），税率：    ，不含税金额</w:t>
      </w:r>
      <w:r>
        <w:rPr>
          <w:rFonts w:hint="eastAsia" w:ascii="宋体" w:hAnsi="宋体" w:cs="宋体"/>
          <w:sz w:val="24"/>
          <w:lang w:val="en-US" w:eastAsia="zh-CN" w:bidi="ar"/>
        </w:rPr>
        <w:t xml:space="preserve">    </w:t>
      </w:r>
      <w:r>
        <w:rPr>
          <w:rFonts w:hint="eastAsia" w:ascii="宋体" w:hAnsi="宋体" w:cs="宋体"/>
          <w:sz w:val="24"/>
          <w:lang w:bidi="ar"/>
        </w:rPr>
        <w:t xml:space="preserve">         元。</w:t>
      </w:r>
    </w:p>
    <w:p w14:paraId="252E45FB">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rPr>
          <w:rFonts w:hint="default" w:ascii="宋体" w:hAnsi="宋体" w:eastAsia="宋体" w:cs="宋体"/>
          <w:b/>
          <w:bCs/>
          <w:sz w:val="24"/>
          <w:highlight w:val="none"/>
          <w:lang w:val="en-US" w:eastAsia="zh-CN"/>
        </w:rPr>
      </w:pPr>
      <w:r>
        <w:rPr>
          <w:rFonts w:hint="eastAsia" w:ascii="宋体" w:hAnsi="宋体" w:cs="宋体"/>
          <w:sz w:val="24"/>
          <w:lang w:bidi="ar"/>
        </w:rPr>
        <w:t>2、</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监测：暂定</w:t>
      </w:r>
      <w:r>
        <w:rPr>
          <w:rFonts w:hint="eastAsia" w:ascii="宋体" w:hAnsi="宋体" w:cs="宋体"/>
          <w:sz w:val="24"/>
          <w:lang w:bidi="ar"/>
        </w:rPr>
        <w:t>XX元</w:t>
      </w:r>
      <w:r>
        <w:rPr>
          <w:rFonts w:hint="eastAsia" w:ascii="宋体" w:hAnsi="宋体" w:cs="宋体"/>
          <w:sz w:val="24"/>
          <w:lang w:val="en-US" w:eastAsia="zh-CN" w:bidi="ar"/>
        </w:rPr>
        <w:t>/年</w:t>
      </w:r>
      <w:r>
        <w:rPr>
          <w:rFonts w:hint="eastAsia" w:ascii="宋体" w:hAnsi="宋体" w:cs="宋体"/>
          <w:sz w:val="24"/>
          <w:lang w:bidi="ar"/>
        </w:rPr>
        <w:t>；（大写：</w:t>
      </w:r>
      <w:r>
        <w:rPr>
          <w:rFonts w:hint="eastAsia" w:ascii="宋体" w:hAnsi="宋体" w:cs="宋体"/>
          <w:sz w:val="24"/>
          <w:lang w:val="en-US" w:eastAsia="zh-CN" w:bidi="ar"/>
        </w:rPr>
        <w:t xml:space="preserve">        </w:t>
      </w:r>
      <w:r>
        <w:rPr>
          <w:rFonts w:hint="eastAsia" w:ascii="宋体" w:hAnsi="宋体" w:cs="宋体"/>
          <w:sz w:val="24"/>
          <w:lang w:bidi="ar"/>
        </w:rPr>
        <w:t>），税率：    ，不含税金额</w:t>
      </w:r>
      <w:r>
        <w:rPr>
          <w:rFonts w:hint="eastAsia" w:ascii="宋体" w:hAnsi="宋体" w:cs="宋体"/>
          <w:sz w:val="24"/>
          <w:lang w:val="en-US" w:eastAsia="zh-CN" w:bidi="ar"/>
        </w:rPr>
        <w:t xml:space="preserve">    </w:t>
      </w:r>
      <w:r>
        <w:rPr>
          <w:rFonts w:hint="eastAsia" w:ascii="宋体" w:hAnsi="宋体" w:cs="宋体"/>
          <w:sz w:val="24"/>
          <w:lang w:bidi="ar"/>
        </w:rPr>
        <w:t xml:space="preserve">         元</w:t>
      </w:r>
      <w:r>
        <w:rPr>
          <w:rFonts w:hint="eastAsia" w:ascii="宋体" w:hAnsi="宋体" w:cs="宋体"/>
          <w:sz w:val="24"/>
          <w:lang w:val="en-US" w:eastAsia="zh-CN" w:bidi="ar"/>
        </w:rPr>
        <w:t>/年</w:t>
      </w:r>
      <w:r>
        <w:rPr>
          <w:rFonts w:hint="eastAsia" w:ascii="宋体" w:hAnsi="宋体" w:cs="宋体"/>
          <w:sz w:val="24"/>
          <w:lang w:bidi="ar"/>
        </w:rPr>
        <w:t>。</w:t>
      </w:r>
      <w:r>
        <w:rPr>
          <w:rFonts w:hint="eastAsia" w:ascii="宋体" w:hAnsi="宋体" w:cs="宋体"/>
          <w:b/>
          <w:bCs/>
          <w:sz w:val="24"/>
          <w:highlight w:val="none"/>
          <w:lang w:eastAsia="zh-CN" w:bidi="ar"/>
        </w:rPr>
        <w:t>（最终费用按实际</w:t>
      </w:r>
      <w:r>
        <w:rPr>
          <w:rFonts w:hint="eastAsia" w:ascii="宋体" w:hAnsi="宋体" w:cs="宋体"/>
          <w:b/>
          <w:bCs/>
          <w:sz w:val="24"/>
          <w:highlight w:val="none"/>
          <w:lang w:val="en-US" w:eastAsia="zh-CN" w:bidi="ar"/>
        </w:rPr>
        <w:t>服务期天数占1年的比例乘以该服务费结算。）</w:t>
      </w:r>
    </w:p>
    <w:p w14:paraId="6EDF1E6F">
      <w:pPr>
        <w:keepNext w:val="0"/>
        <w:keepLines w:val="0"/>
        <w:pageBreakBefore w:val="0"/>
        <w:kinsoku/>
        <w:wordWrap/>
        <w:overflowPunct/>
        <w:topLinePunct w:val="0"/>
        <w:autoSpaceDE/>
        <w:autoSpaceDN/>
        <w:bidi w:val="0"/>
        <w:snapToGrid w:val="0"/>
        <w:spacing w:line="360" w:lineRule="auto"/>
        <w:ind w:firstLine="482" w:firstLineChars="200"/>
        <w:rPr>
          <w:rFonts w:hint="eastAsia" w:ascii="宋体" w:hAnsi="宋体" w:cs="宋体"/>
          <w:sz w:val="24"/>
        </w:rPr>
      </w:pPr>
      <w:r>
        <w:rPr>
          <w:rFonts w:hint="eastAsia" w:ascii="宋体" w:hAnsi="宋体" w:cs="宋体"/>
          <w:b/>
          <w:bCs/>
          <w:sz w:val="24"/>
          <w:lang w:bidi="ar"/>
        </w:rPr>
        <w:t>3、</w:t>
      </w:r>
      <w:r>
        <w:rPr>
          <w:rFonts w:hint="eastAsia" w:ascii="宋体" w:hAnsi="宋体" w:cs="宋体"/>
          <w:b/>
          <w:bCs/>
          <w:sz w:val="24"/>
          <w:lang w:eastAsia="zh-CN" w:bidi="ar"/>
        </w:rPr>
        <w:t>以上</w:t>
      </w:r>
      <w:r>
        <w:rPr>
          <w:rFonts w:hint="eastAsia" w:ascii="宋体" w:hAnsi="宋体" w:cs="宋体"/>
          <w:b/>
          <w:bCs/>
          <w:sz w:val="24"/>
          <w:lang w:bidi="ar"/>
        </w:rPr>
        <w:t>费用为包干费用，已包括但不限于编制费、评审费、会务费、监测费、人工费、材料费、交通费、差旅费、税费、利润等乙方为完成本合同项下约定服务的所有费用，以及后续服务费。</w:t>
      </w:r>
    </w:p>
    <w:p w14:paraId="494E88B1">
      <w:pPr>
        <w:keepNext w:val="0"/>
        <w:keepLines w:val="0"/>
        <w:pageBreakBefore w:val="0"/>
        <w:numPr>
          <w:ilvl w:val="0"/>
          <w:numId w:val="2"/>
        </w:numPr>
        <w:tabs>
          <w:tab w:val="left" w:pos="780"/>
          <w:tab w:val="clear" w:pos="0"/>
        </w:tabs>
        <w:kinsoku/>
        <w:wordWrap/>
        <w:overflowPunct/>
        <w:topLinePunct w:val="0"/>
        <w:autoSpaceDE/>
        <w:autoSpaceDN/>
        <w:bidi w:val="0"/>
        <w:snapToGrid w:val="0"/>
        <w:spacing w:line="360" w:lineRule="auto"/>
        <w:ind w:left="0" w:firstLine="567"/>
        <w:rPr>
          <w:rFonts w:hint="eastAsia" w:ascii="宋体" w:hAnsi="宋体" w:cs="宋体"/>
          <w:b/>
          <w:sz w:val="24"/>
        </w:rPr>
      </w:pPr>
      <w:r>
        <w:rPr>
          <w:rFonts w:hint="eastAsia" w:ascii="宋体" w:hAnsi="宋体" w:cs="宋体"/>
          <w:b/>
          <w:sz w:val="24"/>
          <w:lang w:bidi="ar"/>
        </w:rPr>
        <w:t>付款方式:</w:t>
      </w:r>
    </w:p>
    <w:p w14:paraId="3DEE10E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1、提交水土保持方案报告书并协助甲方取得相应批复后15个工作日内</w:t>
      </w:r>
      <w:r>
        <w:rPr>
          <w:rFonts w:hint="default" w:ascii="宋体" w:hAnsi="宋体" w:eastAsia="宋体" w:cs="宋体"/>
          <w:bCs/>
          <w:sz w:val="24"/>
          <w:lang w:val="en-US" w:eastAsia="zh-CN" w:bidi="ar"/>
        </w:rPr>
        <w:t>一次性</w:t>
      </w:r>
      <w:r>
        <w:rPr>
          <w:rFonts w:hint="eastAsia" w:ascii="宋体" w:hAnsi="宋体" w:cs="宋体"/>
          <w:bCs/>
          <w:sz w:val="24"/>
          <w:lang w:val="en-US" w:eastAsia="zh-CN" w:bidi="ar"/>
        </w:rPr>
        <w:t>支付水土保持方案服务费</w:t>
      </w:r>
      <w:r>
        <w:rPr>
          <w:rFonts w:hint="default" w:ascii="宋体" w:hAnsi="宋体" w:eastAsia="宋体" w:cs="宋体"/>
          <w:bCs/>
          <w:sz w:val="24"/>
          <w:lang w:val="en-US" w:eastAsia="zh-CN" w:bidi="ar"/>
        </w:rPr>
        <w:t>。</w:t>
      </w:r>
    </w:p>
    <w:p w14:paraId="4D28AA1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val="en-US" w:eastAsia="zh-CN" w:bidi="ar"/>
        </w:rPr>
      </w:pPr>
      <w:r>
        <w:rPr>
          <w:rFonts w:hint="default" w:ascii="宋体" w:hAnsi="宋体" w:eastAsia="宋体" w:cs="宋体"/>
          <w:bCs/>
          <w:sz w:val="24"/>
          <w:lang w:val="en-US" w:eastAsia="zh-CN" w:bidi="ar"/>
        </w:rPr>
        <w:t>2</w:t>
      </w:r>
      <w:r>
        <w:rPr>
          <w:rFonts w:hint="eastAsia" w:ascii="宋体" w:hAnsi="宋体" w:cs="宋体"/>
          <w:bCs/>
          <w:sz w:val="24"/>
          <w:lang w:val="en-US" w:eastAsia="zh-CN" w:bidi="ar"/>
        </w:rPr>
        <w:t>、完成水土保持监测并提交监测成果后15个工作日内</w:t>
      </w:r>
      <w:r>
        <w:rPr>
          <w:rFonts w:hint="default" w:ascii="宋体" w:hAnsi="宋体" w:eastAsia="宋体" w:cs="宋体"/>
          <w:bCs/>
          <w:sz w:val="24"/>
          <w:lang w:val="en-US" w:eastAsia="zh-CN" w:bidi="ar"/>
        </w:rPr>
        <w:t>一次性</w:t>
      </w:r>
      <w:r>
        <w:rPr>
          <w:rFonts w:hint="eastAsia" w:ascii="宋体" w:hAnsi="宋体" w:cs="宋体"/>
          <w:bCs/>
          <w:sz w:val="24"/>
          <w:lang w:val="en-US" w:eastAsia="zh-CN" w:bidi="ar"/>
        </w:rPr>
        <w:t>支付水土保持监测服务费。</w:t>
      </w:r>
    </w:p>
    <w:p w14:paraId="6E80CA7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3、每次</w:t>
      </w:r>
      <w:r>
        <w:rPr>
          <w:rFonts w:hint="default" w:ascii="宋体" w:hAnsi="宋体" w:eastAsia="宋体" w:cs="宋体"/>
          <w:bCs/>
          <w:sz w:val="24"/>
          <w:lang w:val="en-US" w:eastAsia="zh-CN" w:bidi="ar"/>
        </w:rPr>
        <w:t>付款前，供应商需向甲方出具等额合法有效的增值税专用发票。若因供应商原因未及时提供发票或提供发票不合格，采购方支付时间顺延，且不承担迟延支付的违约责任。</w:t>
      </w:r>
    </w:p>
    <w:p w14:paraId="2B59E5E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4、</w:t>
      </w:r>
      <w:r>
        <w:rPr>
          <w:rFonts w:hint="default" w:ascii="宋体" w:hAnsi="宋体" w:eastAsia="宋体" w:cs="宋体"/>
          <w:bCs/>
          <w:sz w:val="24"/>
          <w:lang w:val="en-US" w:eastAsia="zh-CN" w:bidi="ar"/>
        </w:rPr>
        <w:t>乙方指定收款银行账户如下：</w:t>
      </w:r>
    </w:p>
    <w:p w14:paraId="3D11133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户名：</w:t>
      </w:r>
    </w:p>
    <w:p w14:paraId="248A6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账号：</w:t>
      </w:r>
    </w:p>
    <w:p w14:paraId="0FCD1F1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lang w:val="en-US" w:eastAsia="zh-CN" w:bidi="ar"/>
        </w:rPr>
      </w:pPr>
      <w:r>
        <w:rPr>
          <w:rFonts w:hint="default" w:ascii="宋体" w:hAnsi="宋体" w:eastAsia="宋体" w:cs="宋体"/>
          <w:bCs/>
          <w:sz w:val="24"/>
          <w:lang w:val="en-US" w:eastAsia="zh-CN" w:bidi="ar"/>
        </w:rPr>
        <w:t>开户行：</w:t>
      </w:r>
    </w:p>
    <w:p w14:paraId="48A48C35">
      <w:pPr>
        <w:keepNext w:val="0"/>
        <w:keepLines w:val="0"/>
        <w:pageBreakBefore w:val="0"/>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第五条 服务时间、进度安排和服务地点要求</w:t>
      </w:r>
    </w:p>
    <w:p w14:paraId="69E98D0B">
      <w:pPr>
        <w:keepNext w:val="0"/>
        <w:keepLines w:val="0"/>
        <w:pageBreakBefore w:val="0"/>
        <w:numPr>
          <w:ilvl w:val="0"/>
          <w:numId w:val="4"/>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服务时间：</w:t>
      </w:r>
    </w:p>
    <w:p w14:paraId="48F960B2">
      <w:pPr>
        <w:keepNext w:val="0"/>
        <w:keepLines w:val="0"/>
        <w:pageBreakBefore w:val="0"/>
        <w:numPr>
          <w:ilvl w:val="0"/>
          <w:numId w:val="4"/>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服务进度安排：</w:t>
      </w:r>
    </w:p>
    <w:p w14:paraId="66C87332">
      <w:pPr>
        <w:keepNext w:val="0"/>
        <w:keepLines w:val="0"/>
        <w:pageBreakBefore w:val="0"/>
        <w:numPr>
          <w:ilvl w:val="0"/>
          <w:numId w:val="4"/>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服务地点：采购人指定地点</w:t>
      </w:r>
    </w:p>
    <w:p w14:paraId="6D30879E">
      <w:pPr>
        <w:keepNext w:val="0"/>
        <w:keepLines w:val="0"/>
        <w:pageBreakBefore w:val="0"/>
        <w:tabs>
          <w:tab w:val="left" w:pos="0"/>
          <w:tab w:val="left" w:pos="780"/>
        </w:tabs>
        <w:kinsoku/>
        <w:wordWrap/>
        <w:overflowPunct/>
        <w:topLinePunct w:val="0"/>
        <w:autoSpaceDE/>
        <w:autoSpaceDN/>
        <w:bidi w:val="0"/>
        <w:snapToGrid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第六条 售后服务</w:t>
      </w:r>
    </w:p>
    <w:p w14:paraId="6F32A170">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乙方需指派专人负责与采购人联系后续服务事宜。</w:t>
      </w:r>
    </w:p>
    <w:p w14:paraId="7CE1CB99">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后续服务联系人：XXX</w:t>
      </w:r>
    </w:p>
    <w:p w14:paraId="6D116ECF">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 xml:space="preserve">联系电话：XXXX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35C642CE">
      <w:pPr>
        <w:keepNext w:val="0"/>
        <w:keepLines w:val="0"/>
        <w:pageBreakBefore w:val="0"/>
        <w:tabs>
          <w:tab w:val="left" w:pos="0"/>
          <w:tab w:val="left" w:pos="780"/>
        </w:tabs>
        <w:kinsoku/>
        <w:wordWrap/>
        <w:overflowPunct/>
        <w:topLinePunct w:val="0"/>
        <w:autoSpaceDE/>
        <w:autoSpaceDN/>
        <w:bidi w:val="0"/>
        <w:snapToGrid w:val="0"/>
        <w:spacing w:line="360" w:lineRule="auto"/>
        <w:ind w:left="420" w:leftChars="200"/>
        <w:rPr>
          <w:rFonts w:hint="eastAsia" w:ascii="宋体" w:hAnsi="宋体" w:cs="宋体"/>
          <w:b/>
          <w:sz w:val="24"/>
          <w:lang w:bidi="ar"/>
        </w:rPr>
      </w:pPr>
      <w:r>
        <w:rPr>
          <w:rFonts w:hint="eastAsia" w:ascii="宋体" w:hAnsi="宋体" w:cs="宋体"/>
          <w:b/>
          <w:sz w:val="24"/>
          <w:lang w:bidi="ar"/>
        </w:rPr>
        <w:t>第七条 保险</w:t>
      </w:r>
    </w:p>
    <w:p w14:paraId="0A4219D3">
      <w:pPr>
        <w:keepNext w:val="0"/>
        <w:keepLines w:val="0"/>
        <w:pageBreakBefore w:val="0"/>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cs="宋体"/>
          <w:b/>
          <w:sz w:val="24"/>
          <w:lang w:bidi="ar"/>
        </w:rPr>
      </w:pPr>
      <w:r>
        <w:rPr>
          <w:rFonts w:hint="eastAsia" w:ascii="宋体" w:hAnsi="宋体" w:cs="宋体"/>
          <w:sz w:val="24"/>
        </w:rPr>
        <w:t>按国家相关规定执行。</w:t>
      </w:r>
    </w:p>
    <w:p w14:paraId="35EBAAA9">
      <w:pPr>
        <w:keepNext w:val="0"/>
        <w:keepLines w:val="0"/>
        <w:pageBreakBefore w:val="0"/>
        <w:kinsoku/>
        <w:wordWrap/>
        <w:overflowPunct/>
        <w:topLinePunct w:val="0"/>
        <w:autoSpaceDE/>
        <w:autoSpaceDN/>
        <w:bidi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第八条 履约验收标准</w:t>
      </w:r>
    </w:p>
    <w:p w14:paraId="608DB795">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b/>
          <w:sz w:val="24"/>
          <w:lang w:bidi="ar"/>
        </w:rPr>
      </w:pPr>
      <w:r>
        <w:rPr>
          <w:rFonts w:hint="eastAsia" w:ascii="宋体" w:hAnsi="宋体" w:cs="宋体"/>
          <w:sz w:val="24"/>
          <w:shd w:val="clear" w:color="auto" w:fill="FFFFFF"/>
          <w:lang w:bidi="ar"/>
        </w:rPr>
        <w:t>双方严格按照相关法律法规、磋商文件、响应文件的要求进行验收。</w:t>
      </w:r>
    </w:p>
    <w:p w14:paraId="027EDAD1">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第九条 知识产权</w:t>
      </w:r>
    </w:p>
    <w:p w14:paraId="2A77E998">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乙方应保证所提供的服务或其任何一部分均不会侵犯任何第三方的专利权、商标权或著作权。向乙方所提交的工作成果归属甲方所有，未经甲方许可，乙方不得擅自使用或向其他任意第三方披露。</w:t>
      </w:r>
    </w:p>
    <w:p w14:paraId="578535F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第十条 无产权瑕疵条款</w:t>
      </w:r>
    </w:p>
    <w:p w14:paraId="1DB02812">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乙方保证所提供的服务的所有权完全属于乙方且无任何抵押、查封等产权瑕疵。如有产权瑕疵的，视为乙方违约。乙方应负担由此而产生的一切损失。</w:t>
      </w:r>
    </w:p>
    <w:p w14:paraId="57A2F758">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第十一条 甲方的权利和义务</w:t>
      </w:r>
    </w:p>
    <w:p w14:paraId="77BCBAB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方有权对合同规定范围内乙方的服务行为进行监督和检查，拥有监管权。有权定期核对乙方提供服务所配备的人员数量。对甲方认为不合理的部分有权下达整改通知书，并要求乙方限期整改。乙方无合理理由拒不整改的，甲方有权解除本合同，要求乙方退还已经支付的全部合同款项，并赔偿由此对甲方造成的全部损失。</w:t>
      </w:r>
    </w:p>
    <w:p w14:paraId="05B3E06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rPr>
      </w:pPr>
      <w:r>
        <w:rPr>
          <w:rFonts w:hint="eastAsia" w:ascii="宋体" w:hAnsi="宋体" w:cs="宋体"/>
          <w:bCs/>
          <w:sz w:val="24"/>
          <w:lang w:val="en-US" w:eastAsia="zh-CN" w:bidi="ar"/>
        </w:rPr>
        <w:t>2、</w:t>
      </w:r>
      <w:r>
        <w:rPr>
          <w:rFonts w:hint="eastAsia" w:ascii="宋体" w:hAnsi="宋体" w:cs="宋体"/>
          <w:bCs/>
          <w:sz w:val="24"/>
          <w:lang w:bidi="ar"/>
        </w:rPr>
        <w:t>乙方未按要求履约的，甲方有权扣除履约保证金。</w:t>
      </w:r>
    </w:p>
    <w:p w14:paraId="0D5DF54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3</w:t>
      </w:r>
      <w:r>
        <w:rPr>
          <w:rFonts w:hint="eastAsia" w:ascii="宋体" w:hAnsi="宋体" w:cs="宋体"/>
          <w:bCs/>
          <w:sz w:val="24"/>
          <w:lang w:bidi="ar"/>
        </w:rPr>
        <w:t>、负责检查监督乙方管理工作的实施及制度的执行情况。</w:t>
      </w:r>
    </w:p>
    <w:p w14:paraId="706298B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4</w:t>
      </w:r>
      <w:r>
        <w:rPr>
          <w:rFonts w:hint="eastAsia" w:ascii="宋体" w:hAnsi="宋体" w:cs="宋体"/>
          <w:bCs/>
          <w:sz w:val="24"/>
          <w:lang w:bidi="ar"/>
        </w:rPr>
        <w:t>、根据本合同规定，按时向乙方支付应付服务费用。</w:t>
      </w:r>
    </w:p>
    <w:p w14:paraId="6C030B0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5</w:t>
      </w:r>
      <w:r>
        <w:rPr>
          <w:rFonts w:hint="eastAsia" w:ascii="宋体" w:hAnsi="宋体" w:cs="宋体"/>
          <w:bCs/>
          <w:sz w:val="24"/>
          <w:lang w:bidi="ar"/>
        </w:rPr>
        <w:t>、国家法律、法规所规定由甲方承担的其它责任。</w:t>
      </w:r>
    </w:p>
    <w:p w14:paraId="4D5EEB2B">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第十二条 乙方的权利和义务</w:t>
      </w:r>
    </w:p>
    <w:p w14:paraId="1D95474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1、对本合同规定的委托服务范围内的项目享有管理权及服务义务。</w:t>
      </w:r>
    </w:p>
    <w:p w14:paraId="57440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2、根据本合同的规定向甲方收取相关服务费用，并有权在本项目管理范围内管理及合理使用。</w:t>
      </w:r>
    </w:p>
    <w:p w14:paraId="114CE97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lang w:bidi="ar"/>
        </w:rPr>
        <w:t>3、及时向甲方通告本项目服务范围内有关服务的重大事项，及时配合处理投诉。</w:t>
      </w:r>
    </w:p>
    <w:p w14:paraId="01A51D0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sz w:val="24"/>
          <w:lang w:bidi="ar"/>
        </w:rPr>
        <w:t>4、</w:t>
      </w:r>
      <w:r>
        <w:rPr>
          <w:rFonts w:hint="eastAsia" w:ascii="宋体" w:hAnsi="宋体" w:cs="宋体"/>
          <w:bCs/>
          <w:sz w:val="24"/>
          <w:lang w:bidi="ar"/>
        </w:rPr>
        <w:t>接受项目行业管理部门及有关部门的指导，接受甲方的监督。</w:t>
      </w:r>
    </w:p>
    <w:p w14:paraId="59B0B33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5、国家法律、法规所规定由乙方承担的其它责任。</w:t>
      </w:r>
    </w:p>
    <w:p w14:paraId="372C9C3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6、乙方按照国家水土保持法律法规及相关技术规范、标准进行水土保持方案编制，并对所提交成果的科学性、合理性负责。</w:t>
      </w:r>
    </w:p>
    <w:p w14:paraId="5023651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7、乙方负责对所提交的编制报告中出现的遗漏和错误负责修改或补充，但完成工作期限不延长并负责方案评审时的汇报及疑难问题的解答。</w:t>
      </w:r>
    </w:p>
    <w:p w14:paraId="7877C3F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8、参加本项目水土保持方案报告的技术评审会，并根据评审意见，在五日内不超出原定评价工作内容情况下，对报告进行补充和完善并提交审批部门审批。</w:t>
      </w:r>
    </w:p>
    <w:p w14:paraId="75FB5F9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第十三条 违约责任</w:t>
      </w:r>
    </w:p>
    <w:p w14:paraId="5856E85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1、甲乙双方必须遵守本合同并执行合同中的各项规定，保证本合同的正常履行。</w:t>
      </w:r>
    </w:p>
    <w:p w14:paraId="5F18F81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2</w:t>
      </w:r>
      <w:r>
        <w:rPr>
          <w:rFonts w:hint="eastAsia" w:ascii="宋体" w:hAnsi="宋体" w:cs="宋体"/>
          <w:bCs/>
          <w:sz w:val="24"/>
          <w:lang w:bidi="ar"/>
        </w:rPr>
        <w:t>、乙方应严格按照本合同约定的工作完成期限执行，否则，每逾期一日，乙方应按本合同金额的千分之五向甲方支付违约金，逾期超过15日的，甲方有权解除本合同，要求乙方退还已经支付的全部合同款项，并赔偿由此对甲方造成的全部损失。</w:t>
      </w:r>
    </w:p>
    <w:p w14:paraId="61FEBA3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3</w:t>
      </w:r>
      <w:r>
        <w:rPr>
          <w:rFonts w:hint="eastAsia" w:ascii="宋体" w:hAnsi="宋体" w:cs="宋体"/>
          <w:bCs/>
          <w:sz w:val="24"/>
          <w:lang w:bidi="ar"/>
        </w:rPr>
        <w:t>、乙方工作人员在完成服务过程中自身受到损害或造成甲方及第三方损害等，均由乙方承担，与甲方无关；甲方财产损失以及因乙方原因导致的甲方对任何第三方的法律责任等，乙方均应承担全部的赔偿责任。</w:t>
      </w:r>
    </w:p>
    <w:p w14:paraId="56B8C15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4</w:t>
      </w:r>
      <w:r>
        <w:rPr>
          <w:rFonts w:hint="eastAsia" w:ascii="宋体" w:hAnsi="宋体" w:cs="宋体"/>
          <w:bCs/>
          <w:sz w:val="24"/>
          <w:lang w:bidi="ar"/>
        </w:rPr>
        <w:t>、乙方履行合同不符合合同约定，经甲方发出书面整改意见后仍不整改的，甲方有权解除合同。</w:t>
      </w:r>
    </w:p>
    <w:p w14:paraId="067F1EF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5</w:t>
      </w:r>
      <w:r>
        <w:rPr>
          <w:rFonts w:hint="eastAsia" w:ascii="宋体" w:hAnsi="宋体" w:cs="宋体"/>
          <w:bCs/>
          <w:sz w:val="24"/>
          <w:lang w:bidi="ar"/>
        </w:rPr>
        <w:t>、</w:t>
      </w:r>
      <w:r>
        <w:rPr>
          <w:rFonts w:hint="eastAsia" w:ascii="宋体" w:hAnsi="宋体" w:cs="宋体"/>
          <w:b/>
          <w:bCs w:val="0"/>
          <w:sz w:val="24"/>
          <w:lang w:bidi="ar"/>
        </w:rPr>
        <w:t>因乙方原因导致合同解除或乙方存在任何违约行为的，乙方除承担合同总金额20%的违约金外</w:t>
      </w:r>
      <w:r>
        <w:rPr>
          <w:rFonts w:hint="eastAsia" w:ascii="宋体" w:hAnsi="宋体" w:cs="宋体"/>
          <w:bCs/>
          <w:sz w:val="24"/>
          <w:lang w:bidi="ar"/>
        </w:rPr>
        <w:t>，还应承担甲方因主张权利产生的包括但不限于调查费、评估费、鉴定费、律师费、公证费、诉讼费、财产保全费、保全保险费、差旅费、公证费等合理费用。</w:t>
      </w:r>
    </w:p>
    <w:p w14:paraId="78F86130">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cs="宋体"/>
          <w:bCs/>
          <w:sz w:val="24"/>
          <w:lang w:bidi="ar"/>
        </w:rPr>
      </w:pPr>
      <w:r>
        <w:rPr>
          <w:rFonts w:hint="eastAsia" w:ascii="宋体" w:hAnsi="宋体" w:cs="宋体"/>
          <w:b/>
          <w:bCs w:val="0"/>
          <w:sz w:val="24"/>
          <w:lang w:val="en-US" w:eastAsia="zh-CN" w:bidi="ar"/>
        </w:rPr>
        <w:t>6</w:t>
      </w:r>
      <w:r>
        <w:rPr>
          <w:rFonts w:hint="eastAsia" w:ascii="宋体" w:hAnsi="宋体" w:cs="宋体"/>
          <w:b/>
          <w:bCs w:val="0"/>
          <w:sz w:val="24"/>
          <w:lang w:bidi="ar"/>
        </w:rPr>
        <w:t>、合同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主合同所约定的违约金具有惩罚性违约金性质。在充分理解和认可上述原则的基础上，双方在违约情况发生后，相对方向违约方主张违约责任时，双方均不再以“违约金过分高于/低于损失”等为由作为抗辩要求调低或调高违约金，收取违约金的一方亦无需举证具体损失。</w:t>
      </w:r>
    </w:p>
    <w:p w14:paraId="0BE45BE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第十四条 不可抗力事件处理</w:t>
      </w:r>
    </w:p>
    <w:p w14:paraId="0F92EA43">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1、在合同有效期内，任何一方因不可抗力事件导致不能履行合同，则合同履行期可延长，其延长期与不可抗力影响期相同。</w:t>
      </w:r>
    </w:p>
    <w:p w14:paraId="0EF40FF0">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2、不可抗力事件发生后，应立即通知对方，并寄送有关权威机构出具的证明。</w:t>
      </w:r>
    </w:p>
    <w:p w14:paraId="57E0C6F9">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 xml:space="preserve">3、不可抗力事件延续 </w:t>
      </w:r>
      <w:r>
        <w:rPr>
          <w:rFonts w:hint="eastAsia" w:ascii="宋体" w:hAnsi="宋体" w:cs="宋体"/>
          <w:sz w:val="24"/>
          <w:lang w:val="en-US" w:eastAsia="zh-CN" w:bidi="ar"/>
        </w:rPr>
        <w:t>7</w:t>
      </w:r>
      <w:r>
        <w:rPr>
          <w:rFonts w:hint="eastAsia" w:ascii="宋体" w:hAnsi="宋体" w:cs="宋体"/>
          <w:sz w:val="24"/>
          <w:lang w:bidi="ar"/>
        </w:rPr>
        <w:t>天以上，双方应通过友好协商，确定是否继续履行合同。</w:t>
      </w:r>
    </w:p>
    <w:p w14:paraId="09464DE6">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22" w:name="_Toc286993792"/>
      <w:bookmarkStart w:id="23" w:name="_Toc239233919"/>
      <w:bookmarkStart w:id="24" w:name="_Toc225654649"/>
      <w:bookmarkStart w:id="25" w:name="_Toc247334846"/>
      <w:bookmarkStart w:id="26" w:name="_Toc211854454"/>
      <w:bookmarkStart w:id="27" w:name="_Toc211911353"/>
      <w:bookmarkStart w:id="28" w:name="_Toc225670756"/>
      <w:bookmarkStart w:id="29" w:name="_Toc237145411"/>
      <w:bookmarkStart w:id="30" w:name="_Toc238984980"/>
      <w:bookmarkStart w:id="31" w:name="_Toc212019599"/>
      <w:bookmarkStart w:id="32" w:name="_Toc225244857"/>
      <w:bookmarkStart w:id="33" w:name="_Toc185395254"/>
      <w:bookmarkStart w:id="34" w:name="_Toc239568423"/>
      <w:bookmarkStart w:id="35" w:name="_Toc251768867"/>
      <w:bookmarkStart w:id="36" w:name="_Toc241833908"/>
      <w:bookmarkStart w:id="37" w:name="_Toc232492933"/>
      <w:r>
        <w:rPr>
          <w:rFonts w:hint="eastAsia" w:ascii="宋体" w:hAnsi="宋体" w:cs="宋体"/>
          <w:b/>
          <w:sz w:val="24"/>
          <w:lang w:bidi="ar"/>
        </w:rPr>
        <w:t>第十五条  解决合同纠纷的方式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96D2468">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在执行本合同中发生的或与本合同有关的争端，双方应通过友好协商解决，经协商在 30 天内不能达成协议时，应提交甲方所在地人民法院诉讼。</w:t>
      </w:r>
    </w:p>
    <w:p w14:paraId="6EAFE392">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38" w:name="_Toc211911354"/>
      <w:bookmarkStart w:id="39" w:name="_Toc225654650"/>
      <w:bookmarkStart w:id="40" w:name="_Toc286993793"/>
      <w:bookmarkStart w:id="41" w:name="_Toc212019600"/>
      <w:bookmarkStart w:id="42" w:name="_Toc239568424"/>
      <w:bookmarkStart w:id="43" w:name="_Toc241833909"/>
      <w:bookmarkStart w:id="44" w:name="_Toc239233920"/>
      <w:bookmarkStart w:id="45" w:name="_Toc251768868"/>
      <w:bookmarkStart w:id="46" w:name="_Toc225670757"/>
      <w:bookmarkStart w:id="47" w:name="_Toc225244858"/>
      <w:bookmarkStart w:id="48" w:name="_Toc282696231"/>
      <w:bookmarkStart w:id="49" w:name="_Toc237145412"/>
      <w:bookmarkStart w:id="50" w:name="_Toc232492934"/>
      <w:bookmarkStart w:id="51" w:name="_Toc185395255"/>
      <w:bookmarkStart w:id="52" w:name="_Toc238984981"/>
      <w:bookmarkStart w:id="53" w:name="_Toc211854455"/>
      <w:bookmarkStart w:id="54" w:name="_Toc247334847"/>
      <w:bookmarkStart w:id="55" w:name="_Toc283019219"/>
      <w:r>
        <w:rPr>
          <w:rFonts w:hint="eastAsia" w:ascii="宋体" w:hAnsi="宋体" w:cs="宋体"/>
          <w:b/>
          <w:sz w:val="24"/>
          <w:lang w:bidi="ar"/>
        </w:rPr>
        <w:t>第十六条  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hAnsi="宋体" w:cs="宋体"/>
          <w:b/>
          <w:sz w:val="24"/>
          <w:lang w:bidi="ar"/>
        </w:rPr>
        <w:t>生效及其他</w:t>
      </w:r>
    </w:p>
    <w:p w14:paraId="0D2809C0">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1、合同执行中涉及采购资金和采购内容修改或补充的，由甲乙双方协商，须经相关部门审批</w:t>
      </w:r>
      <w:r>
        <w:rPr>
          <w:rFonts w:hint="eastAsia" w:ascii="宋体" w:hAnsi="宋体" w:cs="宋体"/>
          <w:sz w:val="24"/>
          <w:szCs w:val="24"/>
          <w:lang w:eastAsia="zh-CN"/>
        </w:rPr>
        <w:t>，</w:t>
      </w:r>
      <w:r>
        <w:rPr>
          <w:rFonts w:hint="eastAsia" w:ascii="宋体" w:hAnsi="宋体" w:cs="宋体"/>
          <w:sz w:val="24"/>
          <w:szCs w:val="24"/>
        </w:rPr>
        <w:t>并签订书面补充协议，方可作为主合同不可分割的一部分，与本合同具有同等法律效力。</w:t>
      </w:r>
    </w:p>
    <w:p w14:paraId="7291F723">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陆</w:t>
      </w:r>
      <w:r>
        <w:rPr>
          <w:rFonts w:hint="eastAsia" w:ascii="宋体" w:hAnsi="宋体" w:cs="宋体"/>
          <w:sz w:val="24"/>
          <w:szCs w:val="24"/>
          <w:u w:val="single"/>
        </w:rPr>
        <w:t xml:space="preserve"> </w:t>
      </w:r>
      <w:r>
        <w:rPr>
          <w:rFonts w:hint="eastAsia" w:ascii="宋体" w:hAnsi="宋体" w:cs="宋体"/>
          <w:sz w:val="24"/>
          <w:szCs w:val="24"/>
        </w:rPr>
        <w:t>份，自</w:t>
      </w:r>
      <w:r>
        <w:rPr>
          <w:rFonts w:hint="eastAsia" w:ascii="宋体" w:hAnsi="宋体" w:cs="宋体"/>
          <w:sz w:val="24"/>
          <w:szCs w:val="24"/>
          <w:lang w:val="en-US" w:eastAsia="zh-CN"/>
        </w:rPr>
        <w:t>合同成立</w:t>
      </w:r>
      <w:r>
        <w:rPr>
          <w:rFonts w:hint="eastAsia" w:ascii="宋体" w:hAnsi="宋体" w:cs="宋体"/>
          <w:sz w:val="24"/>
          <w:szCs w:val="24"/>
        </w:rPr>
        <w:t>之日起生效。甲方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叁</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叁</w:t>
      </w:r>
      <w:r>
        <w:rPr>
          <w:rFonts w:hint="eastAsia" w:ascii="宋体" w:hAnsi="宋体" w:cs="宋体"/>
          <w:sz w:val="24"/>
          <w:szCs w:val="24"/>
          <w:u w:val="single"/>
        </w:rPr>
        <w:t xml:space="preserve"> </w:t>
      </w:r>
      <w:r>
        <w:rPr>
          <w:rFonts w:hint="eastAsia" w:ascii="宋体" w:hAnsi="宋体" w:cs="宋体"/>
          <w:sz w:val="24"/>
          <w:szCs w:val="24"/>
        </w:rPr>
        <w:t>份。具有同等法律效力。</w:t>
      </w:r>
      <w:bookmarkStart w:id="56" w:name="_GoBack"/>
      <w:bookmarkEnd w:id="56"/>
    </w:p>
    <w:p w14:paraId="5715AEED">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3、双方确认本合同标明的地址为本合同履行过程以及争议解决中的文书送达地址。合同履行和仲裁、执行以及其他法律程序所涉及之相关法律文件，以邮件快递寄送本合同记载的对方当事人住址即为送达。任何一方均应积极履行通知和被通知义务，不得以拒绝签收、无人签收或变更地址未通知等理由否认送达效力。一方联系方式有变化应在3日内书面通知对方，否则应当承担视为送达等一切法律后果。</w:t>
      </w:r>
    </w:p>
    <w:p w14:paraId="77A1D088">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甲方已采取合理的方式提示乙方注意免除或者减轻甲方责任等与乙方有重大利害关系的条款，按照乙方的要求，甲方已就本协议全部内容向本人进行了逐条说明与解释（尤其是黑体部分），履行了提示注意义务和充分说明义务，乙方不得主张该条款不成为本协议的内容或该条款无效，乙方对前述全部内容均已知晓并予以认可。</w:t>
      </w:r>
    </w:p>
    <w:p w14:paraId="7090EA4D">
      <w:pPr>
        <w:keepNext w:val="0"/>
        <w:keepLines w:val="0"/>
        <w:pageBreakBefore w:val="0"/>
        <w:kinsoku/>
        <w:wordWrap/>
        <w:overflowPunct/>
        <w:topLinePunct w:val="0"/>
        <w:autoSpaceDE/>
        <w:autoSpaceDN/>
        <w:bidi w:val="0"/>
        <w:snapToGrid w:val="0"/>
        <w:spacing w:line="360" w:lineRule="auto"/>
        <w:ind w:left="426"/>
        <w:rPr>
          <w:rFonts w:hint="eastAsia"/>
        </w:rPr>
      </w:pPr>
      <w:r>
        <w:rPr>
          <w:rFonts w:hint="eastAsia" w:ascii="宋体" w:hAnsi="宋体" w:cs="宋体"/>
          <w:b/>
          <w:sz w:val="24"/>
          <w:lang w:bidi="ar"/>
        </w:rPr>
        <w:t>第十七条  附件</w:t>
      </w:r>
    </w:p>
    <w:p w14:paraId="3A6AF150">
      <w:pPr>
        <w:pStyle w:val="3"/>
        <w:rPr>
          <w:rFonts w:hint="eastAsia" w:ascii="宋体" w:hAnsi="宋体" w:cs="宋体"/>
          <w:b/>
          <w:sz w:val="24"/>
          <w:lang w:bidi="ar"/>
        </w:rPr>
      </w:pPr>
    </w:p>
    <w:p w14:paraId="173F992A">
      <w:pPr>
        <w:snapToGrid w:val="0"/>
        <w:spacing w:line="360" w:lineRule="auto"/>
        <w:rPr>
          <w:rFonts w:hint="eastAsia" w:ascii="宋体" w:hAnsi="宋体" w:cs="宋体"/>
          <w:sz w:val="24"/>
        </w:rPr>
      </w:pPr>
      <w:r>
        <w:rPr>
          <w:rFonts w:hint="eastAsia" w:ascii="宋体" w:hAnsi="宋体" w:cs="宋体"/>
          <w:sz w:val="24"/>
          <w:lang w:bidi="ar"/>
        </w:rPr>
        <w:t xml:space="preserve">甲方：   （盖章）   </w:t>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 xml:space="preserve">          乙方：   （盖章）</w:t>
      </w:r>
    </w:p>
    <w:p w14:paraId="0F398FD2">
      <w:pPr>
        <w:snapToGrid w:val="0"/>
        <w:spacing w:line="360" w:lineRule="auto"/>
        <w:rPr>
          <w:rFonts w:hint="eastAsia" w:ascii="宋体" w:hAnsi="宋体" w:cs="宋体"/>
          <w:sz w:val="24"/>
        </w:rPr>
      </w:pPr>
      <w:r>
        <w:rPr>
          <w:rFonts w:hint="eastAsia" w:ascii="宋体" w:hAnsi="宋体" w:cs="宋体"/>
          <w:sz w:val="24"/>
          <w:lang w:bidi="ar"/>
        </w:rPr>
        <w:t xml:space="preserve">法定代表人（负责人）（授权代表）：    </w:t>
      </w:r>
      <w:r>
        <w:rPr>
          <w:rFonts w:hint="eastAsia" w:ascii="宋体" w:hAnsi="宋体" w:cs="宋体"/>
          <w:sz w:val="24"/>
          <w:lang w:val="en-US" w:eastAsia="zh-CN" w:bidi="ar"/>
        </w:rPr>
        <w:t xml:space="preserve"> </w:t>
      </w:r>
      <w:r>
        <w:rPr>
          <w:rFonts w:hint="eastAsia" w:ascii="宋体" w:hAnsi="宋体" w:cs="宋体"/>
          <w:sz w:val="24"/>
          <w:lang w:bidi="ar"/>
        </w:rPr>
        <w:t xml:space="preserve"> 法定代表人（负责人）（授权代表）：</w:t>
      </w:r>
    </w:p>
    <w:p w14:paraId="7834868C">
      <w:pPr>
        <w:snapToGrid w:val="0"/>
        <w:spacing w:line="360" w:lineRule="auto"/>
        <w:rPr>
          <w:rFonts w:hint="eastAsia" w:ascii="宋体" w:hAnsi="宋体" w:cs="宋体"/>
          <w:sz w:val="24"/>
        </w:rPr>
      </w:pPr>
      <w:r>
        <w:rPr>
          <w:rFonts w:hint="eastAsia" w:ascii="宋体" w:hAnsi="宋体" w:cs="宋体"/>
          <w:sz w:val="24"/>
          <w:lang w:bidi="ar"/>
        </w:rPr>
        <w:t>地    址：                            地    址：</w:t>
      </w:r>
    </w:p>
    <w:p w14:paraId="6D9ED751">
      <w:pPr>
        <w:snapToGrid w:val="0"/>
        <w:spacing w:line="360" w:lineRule="auto"/>
        <w:rPr>
          <w:rFonts w:hint="eastAsia" w:ascii="宋体" w:hAnsi="宋体" w:cs="宋体"/>
          <w:sz w:val="24"/>
        </w:rPr>
      </w:pPr>
      <w:r>
        <w:rPr>
          <w:rFonts w:hint="eastAsia" w:ascii="宋体" w:hAnsi="宋体" w:cs="宋体"/>
          <w:sz w:val="24"/>
          <w:lang w:bidi="ar"/>
        </w:rPr>
        <w:t>开户银行：                            开户银行：</w:t>
      </w:r>
    </w:p>
    <w:p w14:paraId="7CE21B40">
      <w:pPr>
        <w:snapToGrid w:val="0"/>
        <w:spacing w:line="360" w:lineRule="auto"/>
        <w:rPr>
          <w:rFonts w:hint="eastAsia" w:ascii="宋体" w:hAnsi="宋体" w:cs="宋体"/>
          <w:sz w:val="24"/>
        </w:rPr>
      </w:pPr>
      <w:r>
        <w:rPr>
          <w:rFonts w:hint="eastAsia" w:ascii="宋体" w:hAnsi="宋体" w:cs="宋体"/>
          <w:sz w:val="24"/>
          <w:lang w:bidi="ar"/>
        </w:rPr>
        <w:t>账号：                                账号：</w:t>
      </w:r>
    </w:p>
    <w:p w14:paraId="3670505E">
      <w:pPr>
        <w:snapToGrid w:val="0"/>
        <w:spacing w:line="360" w:lineRule="auto"/>
        <w:rPr>
          <w:rFonts w:hint="eastAsia" w:ascii="宋体" w:hAnsi="宋体" w:cs="宋体"/>
          <w:sz w:val="24"/>
        </w:rPr>
      </w:pPr>
      <w:r>
        <w:rPr>
          <w:rFonts w:hint="eastAsia" w:ascii="宋体" w:hAnsi="宋体" w:cs="宋体"/>
          <w:sz w:val="24"/>
          <w:lang w:bidi="ar"/>
        </w:rPr>
        <w:t xml:space="preserve">电    话：                            电    话：                       </w:t>
      </w:r>
    </w:p>
    <w:p w14:paraId="6D6877E9">
      <w:pPr>
        <w:pStyle w:val="6"/>
        <w:spacing w:after="0" w:line="360" w:lineRule="auto"/>
      </w:pPr>
      <w:r>
        <w:rPr>
          <w:rFonts w:hint="eastAsia" w:ascii="宋体" w:hAnsi="宋体" w:cs="宋体"/>
          <w:sz w:val="24"/>
          <w:lang w:bidi="ar"/>
        </w:rPr>
        <w:t>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           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0130128"/>
    <w:multiLevelType w:val="singleLevel"/>
    <w:tmpl w:val="50130128"/>
    <w:lvl w:ilvl="0" w:tentative="0">
      <w:start w:val="1"/>
      <w:numFmt w:val="decimal"/>
      <w:suff w:val="nothing"/>
      <w:lvlText w:val="%1、"/>
      <w:lvlJc w:val="left"/>
    </w:lvl>
  </w:abstractNum>
  <w:abstractNum w:abstractNumId="2">
    <w:nsid w:val="5AB90C1F"/>
    <w:multiLevelType w:val="multilevel"/>
    <w:tmpl w:val="5AB90C1F"/>
    <w:lvl w:ilvl="0" w:tentative="0">
      <w:start w:val="1"/>
      <w:numFmt w:val="chineseCountingThousand"/>
      <w:suff w:val="nothing"/>
      <w:lvlText w:val="(%1)"/>
      <w:lvlJc w:val="left"/>
      <w:pPr>
        <w:tabs>
          <w:tab w:val="left" w:pos="0"/>
        </w:tabs>
        <w:ind w:left="420" w:hanging="420"/>
      </w:pPr>
      <w:rPr>
        <w:sz w:val="21"/>
        <w:szCs w:val="21"/>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5FFD0832"/>
    <w:multiLevelType w:val="singleLevel"/>
    <w:tmpl w:val="5FFD083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43D6D35"/>
    <w:rsid w:val="05137F6D"/>
    <w:rsid w:val="19586DF5"/>
    <w:rsid w:val="1AF347C3"/>
    <w:rsid w:val="22762BF1"/>
    <w:rsid w:val="2A593B14"/>
    <w:rsid w:val="2BA25C56"/>
    <w:rsid w:val="2C4A4F9D"/>
    <w:rsid w:val="2CD068F8"/>
    <w:rsid w:val="475C1161"/>
    <w:rsid w:val="527821A3"/>
    <w:rsid w:val="58883E5B"/>
    <w:rsid w:val="5B873D00"/>
    <w:rsid w:val="5F7960F6"/>
    <w:rsid w:val="66EC7C29"/>
    <w:rsid w:val="70624D64"/>
    <w:rsid w:val="75135BF2"/>
    <w:rsid w:val="77A7562B"/>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1">
    <w:name w:val="样式 首行缩进:  2 字符"/>
    <w:basedOn w:val="1"/>
    <w:qFormat/>
    <w:uiPriority w:val="0"/>
    <w:pPr>
      <w:spacing w:line="400" w:lineRule="exact"/>
      <w:ind w:firstLine="200" w:firstLineChars="200"/>
    </w:pPr>
    <w:rPr>
      <w:rFonts w:cs="宋体"/>
      <w:sz w:val="24"/>
    </w:rPr>
  </w:style>
  <w:style w:type="paragraph" w:customStyle="1" w:styleId="12">
    <w:name w:val="msolistparagraph"/>
    <w:basedOn w:val="1"/>
    <w:qFormat/>
    <w:uiPriority w:val="0"/>
    <w:pPr>
      <w:ind w:firstLine="420" w:firstLineChars="200"/>
    </w:pPr>
    <w:rPr>
      <w:rFonts w:ascii="Calibri" w:hAnsi="Calibri" w:cs="Calibri"/>
      <w:szCs w:val="22"/>
    </w:rPr>
  </w:style>
  <w:style w:type="paragraph" w:customStyle="1" w:styleId="1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4567</Words>
  <Characters>4806</Characters>
  <Lines>0</Lines>
  <Paragraphs>0</Paragraphs>
  <TotalTime>0</TotalTime>
  <ScaleCrop>false</ScaleCrop>
  <LinksUpToDate>false</LinksUpToDate>
  <CharactersWithSpaces>5361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小毅哥</cp:lastModifiedBy>
  <cp:lastPrinted>2025-07-07T03:32:00Z</cp:lastPrinted>
  <dcterms:modified xsi:type="dcterms:W3CDTF">2026-01-05T08:15:09Z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4C08586EE28F482D91880D1C57A85DBF_13</vt:lpwstr>
  </property>
  <property fmtid="{D5CDD505-2E9C-101B-9397-08002B2CF9AE}" pid="4" name="KSOTemplateDocerSaveRecord">
    <vt:lpwstr>eyJoZGlkIjoiNjYyNzRlYTVmODkwMzQ3MWExOWQ4YTAxYWFiNWZmNDAiLCJ1c2VySWQiOiIxMTI0Mzg4MzY3In0=</vt:lpwstr>
  </property>
</Properties>
</file>