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18BE">
      <w:pPr>
        <w:tabs>
          <w:tab w:val="left" w:pos="1415"/>
        </w:tabs>
        <w:jc w:val="center"/>
        <w:rPr>
          <w:rFonts w:ascii="仿宋" w:hAnsi="仿宋" w:eastAsia="仿宋" w:cs="仿宋"/>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合同编号：</w:t>
      </w:r>
    </w:p>
    <w:p w14:paraId="3421A3A5">
      <w:pPr>
        <w:spacing w:line="420" w:lineRule="exact"/>
        <w:jc w:val="center"/>
        <w:outlineLvl w:val="0"/>
        <w:rPr>
          <w:rFonts w:hint="eastAsia" w:ascii="宋体" w:hAnsi="宋体" w:cs="宋体"/>
          <w:sz w:val="52"/>
          <w:szCs w:val="52"/>
        </w:rPr>
      </w:pPr>
    </w:p>
    <w:p w14:paraId="443557B1">
      <w:pPr>
        <w:spacing w:line="420" w:lineRule="exact"/>
        <w:jc w:val="center"/>
        <w:outlineLvl w:val="0"/>
        <w:rPr>
          <w:rFonts w:ascii="宋体" w:hAnsi="宋体" w:cs="宋体"/>
          <w:sz w:val="52"/>
          <w:szCs w:val="52"/>
        </w:rPr>
      </w:pPr>
    </w:p>
    <w:p w14:paraId="67ACDE92">
      <w:pPr>
        <w:spacing w:line="420" w:lineRule="exact"/>
        <w:jc w:val="center"/>
        <w:outlineLvl w:val="0"/>
        <w:rPr>
          <w:rFonts w:ascii="宋体" w:hAnsi="宋体" w:cs="宋体"/>
          <w:sz w:val="52"/>
          <w:szCs w:val="52"/>
        </w:rPr>
      </w:pPr>
    </w:p>
    <w:p w14:paraId="5A2B6650">
      <w:pPr>
        <w:spacing w:line="560" w:lineRule="exact"/>
        <w:jc w:val="center"/>
        <w:outlineLvl w:val="0"/>
        <w:rPr>
          <w:rFonts w:hint="eastAsia" w:ascii="宋体" w:hAnsi="宋体" w:eastAsia="宋体" w:cs="宋体"/>
          <w:sz w:val="52"/>
          <w:szCs w:val="52"/>
          <w:lang w:eastAsia="zh-CN"/>
        </w:rPr>
      </w:pPr>
      <w:r>
        <w:rPr>
          <w:rFonts w:hint="eastAsia" w:ascii="宋体" w:hAnsi="宋体" w:cs="宋体"/>
          <w:b/>
          <w:bCs/>
          <w:sz w:val="44"/>
          <w:szCs w:val="44"/>
          <w:lang w:eastAsia="zh-CN"/>
        </w:rPr>
        <w:t>四川</w:t>
      </w:r>
      <w:r>
        <w:rPr>
          <w:rFonts w:hint="eastAsia" w:ascii="宋体" w:hAnsi="宋体" w:cs="宋体"/>
          <w:b/>
          <w:bCs/>
          <w:sz w:val="44"/>
          <w:szCs w:val="44"/>
          <w:lang w:val="en-US" w:eastAsia="zh-CN"/>
        </w:rPr>
        <w:t>定弘邦路桥</w:t>
      </w:r>
      <w:r>
        <w:rPr>
          <w:rFonts w:hint="eastAsia" w:ascii="宋体" w:hAnsi="宋体" w:cs="宋体"/>
          <w:b/>
          <w:bCs/>
          <w:sz w:val="44"/>
          <w:szCs w:val="44"/>
          <w:lang w:eastAsia="zh-CN"/>
        </w:rPr>
        <w:t>工程有限公司</w:t>
      </w:r>
    </w:p>
    <w:p w14:paraId="479E8D7B">
      <w:pPr>
        <w:spacing w:line="560" w:lineRule="exact"/>
        <w:jc w:val="center"/>
        <w:outlineLvl w:val="0"/>
        <w:rPr>
          <w:rFonts w:hint="eastAsia" w:ascii="宋体" w:hAnsi="宋体" w:cs="宋体"/>
          <w:sz w:val="52"/>
          <w:szCs w:val="52"/>
        </w:rPr>
      </w:pPr>
    </w:p>
    <w:p w14:paraId="55AFC7D6">
      <w:pPr>
        <w:spacing w:line="560" w:lineRule="exact"/>
        <w:jc w:val="center"/>
        <w:outlineLvl w:val="0"/>
        <w:rPr>
          <w:rFonts w:hint="eastAsia" w:ascii="宋体" w:hAnsi="宋体" w:cs="宋体"/>
          <w:sz w:val="52"/>
          <w:szCs w:val="52"/>
        </w:rPr>
      </w:pPr>
    </w:p>
    <w:p w14:paraId="179AD0CC">
      <w:pPr>
        <w:spacing w:line="560" w:lineRule="exact"/>
        <w:jc w:val="center"/>
        <w:outlineLvl w:val="0"/>
        <w:rPr>
          <w:rFonts w:hint="eastAsia" w:ascii="宋体" w:hAnsi="宋体" w:eastAsia="宋体" w:cs="宋体"/>
          <w:sz w:val="52"/>
          <w:szCs w:val="52"/>
          <w:lang w:eastAsia="zh-CN"/>
        </w:rPr>
      </w:pPr>
      <w:r>
        <w:rPr>
          <w:rFonts w:hint="eastAsia" w:ascii="宋体" w:hAnsi="宋体" w:cs="宋体"/>
          <w:sz w:val="52"/>
          <w:szCs w:val="52"/>
          <w:lang w:val="en-US" w:eastAsia="zh-CN"/>
        </w:rPr>
        <w:t>江湾府商业配套建设</w:t>
      </w:r>
      <w:r>
        <w:rPr>
          <w:rFonts w:hint="eastAsia" w:ascii="宋体" w:hAnsi="宋体" w:cs="宋体"/>
          <w:sz w:val="52"/>
          <w:szCs w:val="52"/>
        </w:rPr>
        <w:t>项目</w:t>
      </w:r>
      <w:r>
        <w:rPr>
          <w:rFonts w:hint="eastAsia" w:ascii="宋体" w:hAnsi="宋体" w:cs="宋体"/>
          <w:sz w:val="52"/>
          <w:szCs w:val="52"/>
          <w:lang w:val="en-US" w:eastAsia="zh-CN"/>
        </w:rPr>
        <w:t>-正式用电工程</w:t>
      </w:r>
      <w:r>
        <w:rPr>
          <w:rFonts w:hint="eastAsia" w:ascii="宋体" w:hAnsi="宋体" w:cs="宋体"/>
          <w:b/>
          <w:bCs/>
          <w:sz w:val="44"/>
          <w:szCs w:val="44"/>
          <w:lang w:val="en-US" w:eastAsia="zh-CN"/>
        </w:rPr>
        <w:t xml:space="preserve"> </w:t>
      </w:r>
    </w:p>
    <w:p w14:paraId="187364A1">
      <w:pPr>
        <w:spacing w:line="420" w:lineRule="exact"/>
        <w:jc w:val="center"/>
        <w:outlineLvl w:val="0"/>
        <w:rPr>
          <w:rFonts w:ascii="宋体" w:hAnsi="宋体" w:cs="宋体"/>
          <w:sz w:val="52"/>
          <w:szCs w:val="52"/>
        </w:rPr>
      </w:pPr>
    </w:p>
    <w:p w14:paraId="194447EF">
      <w:pPr>
        <w:jc w:val="center"/>
        <w:outlineLvl w:val="0"/>
        <w:rPr>
          <w:rFonts w:ascii="宋体" w:hAnsi="宋体"/>
          <w:b/>
          <w:bCs/>
          <w:sz w:val="30"/>
          <w:szCs w:val="30"/>
        </w:rPr>
      </w:pPr>
      <w:r>
        <w:rPr>
          <w:rFonts w:hint="eastAsia" w:ascii="宋体" w:hAnsi="宋体" w:cs="宋体"/>
          <w:sz w:val="52"/>
          <w:szCs w:val="52"/>
          <w:lang w:val="en-US" w:eastAsia="zh-CN"/>
        </w:rPr>
        <w:t>施工</w:t>
      </w:r>
      <w:r>
        <w:rPr>
          <w:rFonts w:hint="eastAsia" w:ascii="宋体" w:hAnsi="宋体" w:cs="宋体"/>
          <w:sz w:val="52"/>
          <w:szCs w:val="52"/>
        </w:rPr>
        <w:t>合同</w:t>
      </w:r>
    </w:p>
    <w:p w14:paraId="49488FD8">
      <w:pPr>
        <w:spacing w:line="420" w:lineRule="exact"/>
        <w:jc w:val="center"/>
        <w:outlineLvl w:val="0"/>
        <w:rPr>
          <w:rFonts w:ascii="宋体" w:hAnsi="宋体"/>
          <w:b/>
          <w:bCs/>
          <w:sz w:val="30"/>
          <w:szCs w:val="30"/>
        </w:rPr>
      </w:pPr>
    </w:p>
    <w:p w14:paraId="40B0528E">
      <w:pPr>
        <w:spacing w:line="420" w:lineRule="exact"/>
        <w:jc w:val="center"/>
        <w:outlineLvl w:val="0"/>
        <w:rPr>
          <w:rFonts w:ascii="宋体" w:hAnsi="宋体"/>
          <w:b/>
          <w:bCs/>
          <w:sz w:val="30"/>
          <w:szCs w:val="30"/>
        </w:rPr>
      </w:pPr>
    </w:p>
    <w:p w14:paraId="6761ED5F">
      <w:pPr>
        <w:spacing w:line="420" w:lineRule="exact"/>
        <w:jc w:val="center"/>
        <w:outlineLvl w:val="0"/>
        <w:rPr>
          <w:rFonts w:ascii="宋体" w:hAnsi="宋体"/>
          <w:b/>
          <w:bCs/>
          <w:sz w:val="30"/>
          <w:szCs w:val="30"/>
        </w:rPr>
      </w:pPr>
    </w:p>
    <w:p w14:paraId="1912A5AD">
      <w:pPr>
        <w:spacing w:line="420" w:lineRule="exact"/>
        <w:jc w:val="center"/>
        <w:outlineLvl w:val="0"/>
        <w:rPr>
          <w:rFonts w:ascii="宋体" w:hAnsi="宋体"/>
          <w:b/>
          <w:bCs/>
          <w:sz w:val="30"/>
          <w:szCs w:val="30"/>
        </w:rPr>
      </w:pPr>
    </w:p>
    <w:p w14:paraId="2C30A0E4">
      <w:pPr>
        <w:spacing w:line="420" w:lineRule="exact"/>
        <w:jc w:val="center"/>
        <w:outlineLvl w:val="0"/>
        <w:rPr>
          <w:rFonts w:ascii="宋体" w:hAnsi="宋体"/>
          <w:b/>
          <w:bCs/>
          <w:sz w:val="30"/>
          <w:szCs w:val="30"/>
        </w:rPr>
      </w:pPr>
    </w:p>
    <w:p w14:paraId="0E0004A4">
      <w:pPr>
        <w:spacing w:line="420" w:lineRule="exact"/>
        <w:jc w:val="center"/>
        <w:outlineLvl w:val="0"/>
        <w:rPr>
          <w:rFonts w:ascii="宋体" w:hAnsi="宋体"/>
          <w:b/>
          <w:bCs/>
          <w:sz w:val="30"/>
          <w:szCs w:val="30"/>
        </w:rPr>
      </w:pPr>
    </w:p>
    <w:p w14:paraId="59A4206E">
      <w:pPr>
        <w:spacing w:line="420" w:lineRule="exact"/>
        <w:jc w:val="center"/>
        <w:outlineLvl w:val="0"/>
        <w:rPr>
          <w:rFonts w:ascii="宋体" w:hAnsi="宋体"/>
          <w:b/>
          <w:bCs/>
          <w:sz w:val="30"/>
          <w:szCs w:val="30"/>
        </w:rPr>
      </w:pPr>
    </w:p>
    <w:p w14:paraId="634709BA">
      <w:pPr>
        <w:spacing w:line="420" w:lineRule="exact"/>
        <w:jc w:val="center"/>
        <w:outlineLvl w:val="0"/>
        <w:rPr>
          <w:rFonts w:ascii="宋体" w:hAnsi="宋体"/>
          <w:b/>
          <w:bCs/>
          <w:sz w:val="30"/>
          <w:szCs w:val="30"/>
        </w:rPr>
      </w:pPr>
    </w:p>
    <w:p w14:paraId="4A52A6E3">
      <w:pPr>
        <w:spacing w:line="420" w:lineRule="exact"/>
        <w:jc w:val="center"/>
        <w:outlineLvl w:val="0"/>
        <w:rPr>
          <w:rFonts w:ascii="宋体" w:hAnsi="宋体"/>
          <w:b/>
          <w:bCs/>
          <w:sz w:val="30"/>
          <w:szCs w:val="30"/>
        </w:rPr>
      </w:pPr>
    </w:p>
    <w:p w14:paraId="0536A2B3">
      <w:pPr>
        <w:spacing w:line="420" w:lineRule="exact"/>
        <w:jc w:val="center"/>
        <w:outlineLvl w:val="0"/>
        <w:rPr>
          <w:rFonts w:ascii="宋体" w:hAnsi="宋体"/>
          <w:b/>
          <w:bCs/>
          <w:sz w:val="30"/>
          <w:szCs w:val="30"/>
        </w:rPr>
      </w:pPr>
      <w:r>
        <w:rPr>
          <w:rFonts w:hint="eastAsia" w:ascii="宋体" w:hAnsi="宋体"/>
          <w:b/>
          <w:bCs/>
          <w:sz w:val="30"/>
          <w:szCs w:val="30"/>
        </w:rPr>
        <w:t>签订日期：</w:t>
      </w:r>
    </w:p>
    <w:p w14:paraId="1B3EBBC0">
      <w:pPr>
        <w:spacing w:line="420" w:lineRule="exact"/>
        <w:jc w:val="center"/>
        <w:outlineLvl w:val="0"/>
        <w:rPr>
          <w:rFonts w:ascii="宋体" w:hAnsi="宋体"/>
          <w:b/>
          <w:bCs/>
          <w:sz w:val="30"/>
          <w:szCs w:val="30"/>
        </w:rPr>
      </w:pPr>
    </w:p>
    <w:p w14:paraId="1C9DCE2F">
      <w:pPr>
        <w:spacing w:line="420" w:lineRule="exact"/>
        <w:jc w:val="center"/>
        <w:outlineLvl w:val="0"/>
        <w:rPr>
          <w:rFonts w:ascii="宋体" w:hAnsi="宋体"/>
          <w:b/>
          <w:bCs/>
          <w:sz w:val="30"/>
          <w:szCs w:val="30"/>
        </w:rPr>
      </w:pPr>
    </w:p>
    <w:p w14:paraId="37CB79BC">
      <w:pPr>
        <w:spacing w:line="420" w:lineRule="exact"/>
        <w:jc w:val="center"/>
        <w:outlineLvl w:val="0"/>
        <w:rPr>
          <w:rFonts w:ascii="宋体" w:hAnsi="宋体"/>
          <w:b/>
          <w:bCs/>
          <w:sz w:val="30"/>
          <w:szCs w:val="30"/>
        </w:rPr>
      </w:pPr>
    </w:p>
    <w:p w14:paraId="707F11EF">
      <w:pPr>
        <w:spacing w:line="420" w:lineRule="exact"/>
        <w:jc w:val="center"/>
        <w:outlineLvl w:val="0"/>
        <w:rPr>
          <w:rFonts w:ascii="宋体" w:hAnsi="宋体"/>
          <w:b/>
          <w:bCs/>
          <w:sz w:val="30"/>
          <w:szCs w:val="30"/>
        </w:rPr>
      </w:pPr>
    </w:p>
    <w:p w14:paraId="4F9CCB12">
      <w:pPr>
        <w:spacing w:line="420" w:lineRule="exact"/>
        <w:jc w:val="center"/>
        <w:outlineLvl w:val="0"/>
        <w:rPr>
          <w:rFonts w:hint="eastAsia" w:ascii="宋体" w:hAnsi="宋体"/>
          <w:b/>
          <w:bCs/>
          <w:sz w:val="30"/>
          <w:szCs w:val="30"/>
          <w:lang w:val="en-US" w:eastAsia="zh-CN"/>
        </w:rPr>
      </w:pPr>
    </w:p>
    <w:p w14:paraId="675C3053">
      <w:pPr>
        <w:spacing w:line="420" w:lineRule="exact"/>
        <w:jc w:val="center"/>
        <w:outlineLvl w:val="0"/>
        <w:rPr>
          <w:rFonts w:hint="eastAsia" w:ascii="宋体" w:hAnsi="宋体"/>
          <w:b/>
          <w:bCs/>
          <w:sz w:val="30"/>
          <w:szCs w:val="30"/>
          <w:lang w:val="en-US" w:eastAsia="zh-CN"/>
        </w:rPr>
      </w:pPr>
    </w:p>
    <w:p w14:paraId="14A5952E">
      <w:pPr>
        <w:spacing w:line="420" w:lineRule="exact"/>
        <w:jc w:val="center"/>
        <w:outlineLvl w:val="0"/>
        <w:rPr>
          <w:rFonts w:hint="eastAsia" w:ascii="宋体" w:hAnsi="宋体"/>
          <w:b/>
          <w:bCs/>
          <w:sz w:val="30"/>
          <w:szCs w:val="30"/>
          <w:lang w:val="en-US" w:eastAsia="zh-CN"/>
        </w:rPr>
      </w:pPr>
    </w:p>
    <w:p w14:paraId="403DC6CD">
      <w:pPr>
        <w:spacing w:line="420" w:lineRule="exact"/>
        <w:jc w:val="center"/>
        <w:outlineLvl w:val="0"/>
        <w:rPr>
          <w:rFonts w:hint="eastAsia" w:ascii="宋体" w:hAnsi="宋体"/>
          <w:b/>
          <w:bCs/>
          <w:sz w:val="30"/>
          <w:szCs w:val="30"/>
          <w:lang w:val="en-US" w:eastAsia="zh-CN"/>
        </w:rPr>
      </w:pPr>
    </w:p>
    <w:p w14:paraId="2D3614DE">
      <w:pPr>
        <w:spacing w:line="420" w:lineRule="exact"/>
        <w:jc w:val="center"/>
        <w:outlineLvl w:val="0"/>
        <w:rPr>
          <w:rFonts w:hint="eastAsia" w:ascii="宋体" w:hAnsi="宋体"/>
          <w:b/>
          <w:bCs/>
          <w:sz w:val="30"/>
          <w:szCs w:val="30"/>
          <w:lang w:val="en-US" w:eastAsia="zh-CN"/>
        </w:rPr>
      </w:pPr>
    </w:p>
    <w:p w14:paraId="5395C21C">
      <w:pPr>
        <w:spacing w:line="420" w:lineRule="exact"/>
        <w:jc w:val="center"/>
        <w:outlineLvl w:val="0"/>
        <w:rPr>
          <w:rFonts w:hint="eastAsia" w:ascii="宋体" w:hAnsi="宋体"/>
          <w:b/>
          <w:bCs/>
          <w:sz w:val="30"/>
          <w:szCs w:val="30"/>
          <w:lang w:val="en-US" w:eastAsia="zh-CN"/>
        </w:rPr>
      </w:pPr>
    </w:p>
    <w:p w14:paraId="63B473B3">
      <w:pPr>
        <w:spacing w:line="420" w:lineRule="exact"/>
        <w:jc w:val="center"/>
        <w:outlineLvl w:val="0"/>
        <w:rPr>
          <w:rFonts w:hint="eastAsia" w:ascii="宋体" w:hAnsi="宋体"/>
          <w:b/>
          <w:bCs/>
          <w:sz w:val="30"/>
          <w:szCs w:val="30"/>
          <w:lang w:val="en-US" w:eastAsia="zh-CN"/>
        </w:rPr>
      </w:pPr>
    </w:p>
    <w:p w14:paraId="1C7203B2">
      <w:pPr>
        <w:spacing w:line="420" w:lineRule="exact"/>
        <w:jc w:val="center"/>
        <w:outlineLvl w:val="0"/>
        <w:rPr>
          <w:rFonts w:hint="eastAsia" w:ascii="宋体" w:hAnsi="宋体"/>
          <w:b/>
          <w:bCs/>
          <w:sz w:val="30"/>
          <w:szCs w:val="30"/>
        </w:rPr>
      </w:pPr>
      <w:r>
        <w:rPr>
          <w:rFonts w:hint="eastAsia" w:ascii="宋体" w:hAnsi="宋体"/>
          <w:b/>
          <w:bCs/>
          <w:sz w:val="30"/>
          <w:szCs w:val="30"/>
          <w:lang w:val="en-US" w:eastAsia="zh-CN"/>
        </w:rPr>
        <w:t>江湾府商业配套建设</w:t>
      </w:r>
      <w:r>
        <w:rPr>
          <w:rFonts w:hint="eastAsia" w:ascii="宋体" w:hAnsi="宋体"/>
          <w:b/>
          <w:bCs/>
          <w:sz w:val="30"/>
          <w:szCs w:val="30"/>
        </w:rPr>
        <w:t>项目</w:t>
      </w:r>
      <w:r>
        <w:rPr>
          <w:rFonts w:hint="eastAsia" w:ascii="宋体" w:hAnsi="宋体"/>
          <w:b/>
          <w:bCs/>
          <w:sz w:val="30"/>
          <w:szCs w:val="30"/>
          <w:lang w:val="en-US" w:eastAsia="zh-CN"/>
        </w:rPr>
        <w:t>-正式用电</w:t>
      </w:r>
      <w:r>
        <w:rPr>
          <w:rFonts w:hint="eastAsia" w:ascii="宋体" w:hAnsi="宋体"/>
          <w:b/>
          <w:bCs/>
          <w:sz w:val="30"/>
          <w:szCs w:val="30"/>
          <w:lang w:eastAsia="zh-CN"/>
        </w:rPr>
        <w:t>工程施工</w:t>
      </w:r>
      <w:r>
        <w:rPr>
          <w:rFonts w:hint="eastAsia" w:ascii="宋体" w:hAnsi="宋体"/>
          <w:b/>
          <w:bCs/>
          <w:sz w:val="30"/>
          <w:szCs w:val="30"/>
        </w:rPr>
        <w:t>合同</w:t>
      </w:r>
    </w:p>
    <w:p w14:paraId="79A6CE51">
      <w:pPr>
        <w:spacing w:line="420" w:lineRule="exact"/>
        <w:rPr>
          <w:rFonts w:hint="eastAsia" w:ascii="宋体" w:hAnsi="宋体" w:cs="宋体"/>
          <w:sz w:val="24"/>
        </w:rPr>
      </w:pPr>
    </w:p>
    <w:p w14:paraId="6EC1E2D3">
      <w:pPr>
        <w:keepNext w:val="0"/>
        <w:keepLines w:val="0"/>
        <w:pageBreakBefore w:val="0"/>
        <w:widowControl w:val="0"/>
        <w:kinsoku/>
        <w:wordWrap/>
        <w:overflowPunct/>
        <w:topLinePunct w:val="0"/>
        <w:autoSpaceDE/>
        <w:autoSpaceDN/>
        <w:bidi w:val="0"/>
        <w:adjustRightInd/>
        <w:snapToGrid/>
        <w:spacing w:line="450" w:lineRule="exact"/>
        <w:textAlignment w:val="auto"/>
        <w:rPr>
          <w:rFonts w:ascii="宋体" w:hAnsi="宋体" w:cs="宋体"/>
          <w:sz w:val="24"/>
        </w:rPr>
      </w:pPr>
      <w:r>
        <w:rPr>
          <w:rFonts w:hint="eastAsia" w:ascii="宋体" w:hAnsi="宋体" w:cs="宋体"/>
          <w:sz w:val="24"/>
        </w:rPr>
        <w:t>总包方（以下简称甲方）：</w:t>
      </w:r>
      <w:r>
        <w:rPr>
          <w:rFonts w:hint="eastAsia" w:ascii="宋体" w:hAnsi="宋体" w:cs="宋体"/>
          <w:sz w:val="24"/>
          <w:u w:val="single"/>
          <w:lang w:eastAsia="zh-CN"/>
        </w:rPr>
        <w:t>四川定弘邦路桥工程有限公司</w:t>
      </w:r>
      <w:r>
        <w:rPr>
          <w:rFonts w:ascii="宋体" w:hAnsi="宋体" w:cs="宋体"/>
          <w:sz w:val="24"/>
        </w:rPr>
        <w:t xml:space="preserve">  </w:t>
      </w:r>
    </w:p>
    <w:p w14:paraId="719EE556">
      <w:pPr>
        <w:keepNext w:val="0"/>
        <w:keepLines w:val="0"/>
        <w:pageBreakBefore w:val="0"/>
        <w:widowControl w:val="0"/>
        <w:kinsoku/>
        <w:wordWrap/>
        <w:overflowPunct/>
        <w:topLinePunct w:val="0"/>
        <w:autoSpaceDE/>
        <w:autoSpaceDN/>
        <w:bidi w:val="0"/>
        <w:adjustRightInd/>
        <w:snapToGrid/>
        <w:spacing w:line="450" w:lineRule="exact"/>
        <w:textAlignment w:val="auto"/>
        <w:rPr>
          <w:rFonts w:ascii="宋体" w:hAnsi="宋体" w:cs="宋体"/>
          <w:sz w:val="24"/>
          <w:u w:val="single"/>
        </w:rPr>
      </w:pPr>
      <w:r>
        <w:rPr>
          <w:rFonts w:hint="eastAsia" w:ascii="宋体" w:hAnsi="宋体" w:cs="宋体"/>
          <w:sz w:val="24"/>
        </w:rPr>
        <w:t>分包方（以下简称乙方）：</w:t>
      </w:r>
      <w:r>
        <w:rPr>
          <w:rFonts w:hint="eastAsia" w:ascii="宋体" w:hAnsi="宋体" w:cs="宋体"/>
          <w:sz w:val="24"/>
          <w:u w:val="single"/>
        </w:rPr>
        <w:t xml:space="preserve">  </w:t>
      </w:r>
      <w:r>
        <w:rPr>
          <w:rFonts w:hint="eastAsia" w:ascii="宋体" w:hAnsi="宋体"/>
          <w:sz w:val="24"/>
          <w:u w:val="single"/>
        </w:rPr>
        <w:t xml:space="preserve">                           </w:t>
      </w:r>
      <w:r>
        <w:rPr>
          <w:rFonts w:hint="eastAsia" w:ascii="宋体" w:hAnsi="宋体" w:cs="宋体"/>
          <w:sz w:val="24"/>
          <w:u w:val="single"/>
        </w:rPr>
        <w:t xml:space="preserve"> </w:t>
      </w:r>
    </w:p>
    <w:p w14:paraId="391E25FC">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cs="宋体"/>
          <w:sz w:val="24"/>
        </w:rPr>
      </w:pPr>
      <w:r>
        <w:rPr>
          <w:rFonts w:hint="eastAsia" w:ascii="宋体" w:hAnsi="宋体" w:cs="宋体"/>
          <w:sz w:val="24"/>
        </w:rPr>
        <w:t>依照《中华人民共和国民法典》、《中华人民共和国建筑法》及其它有关法律、行政法规，遵循平等、自愿、公平和诚实信用的原则，双方就</w:t>
      </w:r>
      <w:r>
        <w:rPr>
          <w:rFonts w:hint="eastAsia" w:ascii="宋体" w:hAnsi="宋体" w:cs="宋体"/>
          <w:sz w:val="24"/>
          <w:u w:val="single"/>
        </w:rPr>
        <w:t xml:space="preserve"> </w:t>
      </w:r>
      <w:r>
        <w:rPr>
          <w:rFonts w:hint="eastAsia" w:ascii="宋体" w:hAnsi="宋体" w:cs="宋体"/>
          <w:sz w:val="24"/>
          <w:u w:val="single"/>
          <w:lang w:val="en-US" w:eastAsia="zh-CN"/>
        </w:rPr>
        <w:t>江湾府商业配套建设</w:t>
      </w:r>
      <w:r>
        <w:rPr>
          <w:rFonts w:hint="eastAsia" w:ascii="宋体" w:hAnsi="宋体" w:cs="宋体"/>
          <w:sz w:val="24"/>
          <w:u w:val="single"/>
        </w:rPr>
        <w:t>项目</w:t>
      </w:r>
      <w:r>
        <w:rPr>
          <w:rFonts w:hint="eastAsia" w:ascii="宋体" w:hAnsi="宋体" w:cs="宋体"/>
          <w:sz w:val="24"/>
          <w:u w:val="single"/>
          <w:lang w:val="en-US" w:eastAsia="zh-CN"/>
        </w:rPr>
        <w:t>-正式用电工程施工</w:t>
      </w:r>
      <w:r>
        <w:rPr>
          <w:rFonts w:hint="eastAsia" w:ascii="宋体" w:hAnsi="宋体" w:cs="宋体"/>
          <w:sz w:val="24"/>
        </w:rPr>
        <w:t>协商达成一致，订立本合同。</w:t>
      </w:r>
    </w:p>
    <w:p w14:paraId="176E5E33">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cs="宋体"/>
          <w:sz w:val="24"/>
        </w:rPr>
      </w:pPr>
    </w:p>
    <w:p w14:paraId="40CF8FB6">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一、项目名称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江湾府商业配套建设</w:t>
      </w:r>
      <w:r>
        <w:rPr>
          <w:rFonts w:hint="eastAsia" w:ascii="宋体" w:hAnsi="宋体" w:eastAsia="宋体" w:cs="宋体"/>
          <w:sz w:val="24"/>
          <w:u w:val="single"/>
        </w:rPr>
        <w:t>项目</w:t>
      </w:r>
      <w:r>
        <w:rPr>
          <w:rFonts w:hint="eastAsia" w:ascii="宋体" w:hAnsi="宋体" w:eastAsia="宋体" w:cs="宋体"/>
          <w:sz w:val="24"/>
          <w:u w:val="single"/>
          <w:lang w:val="en-US" w:eastAsia="zh-CN"/>
        </w:rPr>
        <w:t>-正式用电</w:t>
      </w:r>
      <w:r>
        <w:rPr>
          <w:rFonts w:hint="eastAsia" w:ascii="宋体" w:hAnsi="宋体" w:cs="宋体"/>
          <w:sz w:val="24"/>
          <w:u w:val="single"/>
          <w:lang w:val="en-US" w:eastAsia="zh-CN"/>
        </w:rPr>
        <w:t>工程</w:t>
      </w:r>
    </w:p>
    <w:p w14:paraId="435A3B30">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rPr>
      </w:pPr>
      <w:r>
        <w:rPr>
          <w:rFonts w:hint="eastAsia" w:ascii="宋体" w:hAnsi="宋体" w:eastAsia="宋体" w:cs="宋体"/>
          <w:sz w:val="24"/>
          <w:lang w:val="en-US" w:eastAsia="zh-CN"/>
        </w:rPr>
        <w:t>二、项目地点</w:t>
      </w:r>
      <w:r>
        <w:rPr>
          <w:rFonts w:hint="eastAsia" w:ascii="宋体" w:hAnsi="宋体" w:eastAsia="宋体" w:cs="宋体"/>
          <w:sz w:val="24"/>
        </w:rPr>
        <w:t>：</w:t>
      </w:r>
      <w:r>
        <w:rPr>
          <w:rFonts w:hint="eastAsia" w:ascii="宋体" w:hAnsi="宋体" w:eastAsia="宋体" w:cs="宋体"/>
          <w:sz w:val="24"/>
          <w:u w:val="single"/>
          <w:lang w:val="en-US" w:eastAsia="zh-CN"/>
        </w:rPr>
        <w:t xml:space="preserve"> 广汉市 </w:t>
      </w:r>
    </w:p>
    <w:p w14:paraId="5A90FA11">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single"/>
        </w:rPr>
      </w:pPr>
      <w:r>
        <w:rPr>
          <w:rFonts w:hint="eastAsia" w:ascii="宋体" w:hAnsi="宋体" w:eastAsia="宋体" w:cs="宋体"/>
          <w:sz w:val="24"/>
          <w:lang w:val="en-US" w:eastAsia="zh-CN"/>
        </w:rPr>
        <w:t>三、项目内容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自江湾府地下室非居配电房引出200*150桥架及2*YJLV-0.6/1kV-4*185+1*95电缆至江湾府商业配套总坪强电进线井预留位置，建设内容含电缆敷设465m、桥架安装131m、热镀锌钢管敷设304m、新建强电井等。具体工程内容、材料规格、工程量等详见本合同附件一《工程量清单、材料品牌及单价表》及附件二《施工图纸及施工界面划分图》。该范围包含为满足正式用电要求所必需的全部桥架、线缆、管材、附属设施及安装、调试、验收等工作。</w:t>
      </w:r>
      <w:r>
        <w:rPr>
          <w:rFonts w:hint="eastAsia" w:ascii="宋体" w:hAnsi="宋体" w:eastAsia="宋体" w:cs="宋体"/>
          <w:sz w:val="24"/>
          <w:u w:val="single"/>
        </w:rPr>
        <w:t xml:space="preserve"> </w:t>
      </w:r>
    </w:p>
    <w:p w14:paraId="6AAC956D">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四、服务要求：满足国家电力安装施工及验收标准与供电企业正式用电工程安装、检验及接电技术规范。</w:t>
      </w:r>
    </w:p>
    <w:p w14:paraId="10FE7668">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五、工期要求：</w:t>
      </w:r>
    </w:p>
    <w:p w14:paraId="4B4B21E8">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1.开始工作日期： </w:t>
      </w:r>
      <w:r>
        <w:rPr>
          <w:rFonts w:hint="eastAsia" w:ascii="宋体" w:hAnsi="宋体" w:eastAsia="宋体" w:cs="宋体"/>
          <w:b w:val="0"/>
          <w:bCs w:val="0"/>
          <w:kern w:val="2"/>
          <w:sz w:val="24"/>
          <w:szCs w:val="24"/>
          <w:u w:val="single"/>
          <w:lang w:val="en-US" w:eastAsia="zh-CN" w:bidi="ar-SA"/>
        </w:rPr>
        <w:t xml:space="preserve"> 以甲方通知为准 </w:t>
      </w:r>
      <w:r>
        <w:rPr>
          <w:rFonts w:hint="eastAsia" w:ascii="宋体" w:hAnsi="宋体" w:eastAsia="宋体" w:cs="宋体"/>
          <w:b w:val="0"/>
          <w:bCs w:val="0"/>
          <w:kern w:val="2"/>
          <w:sz w:val="24"/>
          <w:szCs w:val="24"/>
          <w:u w:val="none"/>
          <w:lang w:val="en-US" w:eastAsia="zh-CN" w:bidi="ar-SA"/>
        </w:rPr>
        <w:t xml:space="preserve"> </w:t>
      </w:r>
    </w:p>
    <w:p w14:paraId="5A7995A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 xml:space="preserve">2.结束工作日期： </w:t>
      </w:r>
      <w:r>
        <w:rPr>
          <w:rFonts w:hint="eastAsia" w:ascii="宋体" w:hAnsi="宋体" w:eastAsia="宋体" w:cs="宋体"/>
          <w:b w:val="0"/>
          <w:bCs w:val="0"/>
          <w:kern w:val="2"/>
          <w:sz w:val="24"/>
          <w:szCs w:val="24"/>
          <w:u w:val="single"/>
          <w:lang w:val="en-US" w:eastAsia="zh-CN" w:bidi="ar-SA"/>
        </w:rPr>
        <w:t xml:space="preserve"> 以甲方通知为准 + 15日历天 </w:t>
      </w:r>
    </w:p>
    <w:p w14:paraId="3C3C2999">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b w:val="0"/>
          <w:bCs w:val="0"/>
          <w:kern w:val="2"/>
          <w:sz w:val="24"/>
          <w:szCs w:val="24"/>
          <w:u w:val="none"/>
          <w:lang w:val="en-US" w:eastAsia="zh-CN" w:bidi="ar-SA"/>
        </w:rPr>
      </w:pPr>
      <w:r>
        <w:rPr>
          <w:rFonts w:hint="eastAsia" w:ascii="宋体" w:hAnsi="宋体" w:eastAsia="宋体" w:cs="宋体"/>
          <w:b w:val="0"/>
          <w:bCs w:val="0"/>
          <w:kern w:val="2"/>
          <w:sz w:val="24"/>
          <w:szCs w:val="24"/>
          <w:u w:val="none"/>
          <w:lang w:val="en-US" w:eastAsia="zh-CN" w:bidi="ar-SA"/>
        </w:rPr>
        <w:t>3.总日历工作天数为：</w:t>
      </w:r>
      <w:r>
        <w:rPr>
          <w:rFonts w:hint="eastAsia" w:ascii="宋体" w:hAnsi="宋体" w:eastAsia="宋体" w:cs="宋体"/>
          <w:b w:val="0"/>
          <w:bCs w:val="0"/>
          <w:kern w:val="2"/>
          <w:sz w:val="24"/>
          <w:szCs w:val="24"/>
          <w:u w:val="single"/>
          <w:lang w:val="en-US" w:eastAsia="zh-CN" w:bidi="ar-SA"/>
        </w:rPr>
        <w:t xml:space="preserve">  15  </w:t>
      </w:r>
      <w:r>
        <w:rPr>
          <w:rFonts w:hint="eastAsia" w:ascii="宋体" w:hAnsi="宋体" w:eastAsia="宋体" w:cs="宋体"/>
          <w:b w:val="0"/>
          <w:bCs w:val="0"/>
          <w:kern w:val="2"/>
          <w:sz w:val="24"/>
          <w:szCs w:val="24"/>
          <w:u w:val="none"/>
          <w:lang w:val="en-US" w:eastAsia="zh-CN" w:bidi="ar-SA"/>
        </w:rPr>
        <w:t>日历天</w:t>
      </w:r>
    </w:p>
    <w:p w14:paraId="2C5EED29">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val="en-US" w:eastAsia="zh-CN"/>
        </w:rPr>
        <w:t>六、合同</w:t>
      </w:r>
      <w:r>
        <w:rPr>
          <w:rFonts w:hint="eastAsia" w:ascii="宋体" w:hAnsi="宋体" w:eastAsia="宋体" w:cs="宋体"/>
          <w:sz w:val="24"/>
        </w:rPr>
        <w:t>价款及</w:t>
      </w:r>
      <w:r>
        <w:rPr>
          <w:rFonts w:hint="eastAsia" w:ascii="宋体" w:hAnsi="宋体" w:eastAsia="宋体" w:cs="宋体"/>
          <w:sz w:val="24"/>
          <w:lang w:val="en-US" w:eastAsia="zh-CN"/>
        </w:rPr>
        <w:t>支付</w:t>
      </w:r>
    </w:p>
    <w:p w14:paraId="1FFFB7AB">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本工程暂定含税合同金额：</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）其中暂定不含税合同金额:</w:t>
      </w:r>
      <w:r>
        <w:rPr>
          <w:rFonts w:hint="eastAsia" w:ascii="宋体" w:hAnsi="宋体" w:eastAsia="宋体" w:cs="宋体"/>
          <w:sz w:val="24"/>
          <w:u w:val="single"/>
        </w:rPr>
        <w:t xml:space="preserve">     </w:t>
      </w:r>
      <w:r>
        <w:rPr>
          <w:rFonts w:hint="eastAsia" w:ascii="宋体" w:hAnsi="宋体" w:eastAsia="宋体" w:cs="宋体"/>
          <w:sz w:val="24"/>
        </w:rPr>
        <w:t>元,增值税：</w:t>
      </w:r>
      <w:r>
        <w:rPr>
          <w:rFonts w:hint="eastAsia" w:ascii="宋体" w:hAnsi="宋体" w:eastAsia="宋体" w:cs="宋体"/>
          <w:sz w:val="24"/>
          <w:u w:val="single"/>
        </w:rPr>
        <w:t xml:space="preserve">      </w:t>
      </w:r>
      <w:r>
        <w:rPr>
          <w:rFonts w:hint="eastAsia" w:ascii="宋体" w:hAnsi="宋体" w:eastAsia="宋体" w:cs="宋体"/>
          <w:sz w:val="24"/>
        </w:rPr>
        <w:t>元，增值税税率</w:t>
      </w:r>
      <w:r>
        <w:rPr>
          <w:rFonts w:hint="eastAsia" w:ascii="宋体" w:hAnsi="宋体" w:eastAsia="宋体" w:cs="宋体"/>
          <w:sz w:val="24"/>
          <w:u w:val="single"/>
        </w:rPr>
        <w:t xml:space="preserve">   </w:t>
      </w:r>
      <w:r>
        <w:rPr>
          <w:rFonts w:hint="eastAsia" w:ascii="宋体" w:hAnsi="宋体" w:eastAsia="宋体" w:cs="宋体"/>
          <w:sz w:val="24"/>
        </w:rPr>
        <w:t>。乙方所开具发票为增值税专用发票。（增值税税率根据国家现行政策执行，只调整税金额度，不调整不含税价款）</w:t>
      </w:r>
    </w:p>
    <w:p w14:paraId="46E0E44B">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2、付款方式：</w:t>
      </w:r>
    </w:p>
    <w:p w14:paraId="476CEA0E">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（1）本项目无预付款。</w:t>
      </w:r>
    </w:p>
    <w:p w14:paraId="7EAF060B">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（2）工程全部完工，经验收合格并正式通电后10个工作日内，支付至合同暂定总价的80%。</w:t>
      </w:r>
    </w:p>
    <w:p w14:paraId="5A9B9740">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（3）结算款：工程完成结算审计后，甲方支付至双方结算金额的97%。</w:t>
      </w:r>
    </w:p>
    <w:p w14:paraId="32F50290">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（4）质保金：剩余结算价款的3%作为质量保证金，质保期（12个月）满且无质量问题后甲方一次性无息付清。</w:t>
      </w:r>
    </w:p>
    <w:p w14:paraId="59D17493">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）甲方采取银行转账、银承、商票、应收账款电子凭证等方式向乙方支付工程款，且甲方不承担贴现费用，由乙方自理。</w:t>
      </w:r>
    </w:p>
    <w:p w14:paraId="008D7F67">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甲方支付款项前，乙方须先行向甲方提供等额、合法且有效的增值税专用发票及请款申请，否则，甲方有权拒绝付款且不承担延迟履行的法律责任。</w:t>
      </w:r>
    </w:p>
    <w:p w14:paraId="237EE36D">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4、价格调整约定：不可调整。</w:t>
      </w:r>
    </w:p>
    <w:p w14:paraId="2426C57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eastAsia="宋体" w:cs="宋体"/>
          <w:sz w:val="24"/>
        </w:rPr>
        <w:t>结算方式：</w:t>
      </w:r>
      <w:r>
        <w:rPr>
          <w:rFonts w:hint="eastAsia" w:ascii="宋体" w:hAnsi="宋体" w:eastAsia="宋体" w:cs="宋体"/>
          <w:sz w:val="24"/>
          <w:lang w:val="en-US" w:eastAsia="zh-CN"/>
        </w:rPr>
        <w:t>甲方或甲方委托的审计机构对工程价款进行审计后，甲乙双方按照“（审定金额-不可竞争费用）*（1-</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（中标</w:t>
      </w:r>
      <w:r>
        <w:rPr>
          <w:rFonts w:hint="eastAsia" w:ascii="宋体" w:hAnsi="宋体" w:eastAsia="宋体" w:cs="宋体"/>
          <w:sz w:val="24"/>
          <w:u w:val="none"/>
          <w:lang w:val="en-US" w:eastAsia="zh-CN"/>
        </w:rPr>
        <w:t>下浮率</w:t>
      </w:r>
      <w:r>
        <w:rPr>
          <w:rFonts w:hint="eastAsia" w:ascii="宋体" w:hAnsi="宋体" w:cs="宋体"/>
          <w:sz w:val="24"/>
          <w:u w:val="none"/>
          <w:lang w:val="en-US" w:eastAsia="zh-CN"/>
        </w:rPr>
        <w:t>）</w:t>
      </w:r>
      <w:r>
        <w:rPr>
          <w:rFonts w:hint="eastAsia" w:ascii="宋体" w:hAnsi="宋体" w:eastAsia="宋体" w:cs="宋体"/>
          <w:sz w:val="24"/>
          <w:lang w:val="en-US" w:eastAsia="zh-CN"/>
        </w:rPr>
        <w:t>）+不可竞争费用”办理工程价款结算。</w:t>
      </w:r>
    </w:p>
    <w:p w14:paraId="4F299111">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项目审减率在5%以内</w:t>
      </w:r>
      <w:bookmarkStart w:id="0" w:name="_GoBack"/>
      <w:bookmarkEnd w:id="0"/>
      <w:r>
        <w:rPr>
          <w:rFonts w:hint="eastAsia" w:ascii="宋体" w:hAnsi="宋体" w:eastAsia="宋体" w:cs="宋体"/>
          <w:sz w:val="24"/>
          <w:lang w:val="en-US" w:eastAsia="zh-CN"/>
        </w:rPr>
        <w:t>（含5%）的结算审核费用由项目建设单位承担。审减率超过5%的，超过部分的效益审核费及审增部分的审核费用由乙方承担。</w:t>
      </w:r>
    </w:p>
    <w:p w14:paraId="12308218">
      <w:pPr>
        <w:keepNext w:val="0"/>
        <w:keepLines w:val="0"/>
        <w:pageBreakBefore w:val="0"/>
        <w:widowControl w:val="0"/>
        <w:numPr>
          <w:ilvl w:val="0"/>
          <w:numId w:val="1"/>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发票</w:t>
      </w:r>
    </w:p>
    <w:p w14:paraId="4B2C96D1">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textAlignment w:val="auto"/>
        <w:rPr>
          <w:rFonts w:hint="eastAsia" w:ascii="宋体" w:hAnsi="宋体" w:eastAsia="宋体" w:cs="宋体"/>
          <w:sz w:val="24"/>
          <w:u w:val="none"/>
          <w:lang w:val="en-US" w:eastAsia="zh-CN"/>
        </w:rPr>
      </w:pPr>
      <w:r>
        <w:rPr>
          <w:rFonts w:hint="eastAsia" w:ascii="宋体" w:hAnsi="宋体" w:eastAsia="宋体" w:cs="宋体"/>
          <w:sz w:val="24"/>
          <w:lang w:val="en-US" w:eastAsia="zh-CN"/>
        </w:rPr>
        <w:t>6.1乙方属于以下第</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种纳税人。</w:t>
      </w:r>
    </w:p>
    <w:p w14:paraId="59F4663E">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firstLine="48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一般纳税人        （2）小规模纳税人</w:t>
      </w:r>
    </w:p>
    <w:p w14:paraId="164BF7CC">
      <w:pPr>
        <w:keepNext w:val="0"/>
        <w:keepLines w:val="0"/>
        <w:pageBreakBefore w:val="0"/>
        <w:widowControl w:val="0"/>
        <w:numPr>
          <w:ilvl w:val="0"/>
          <w:numId w:val="0"/>
        </w:numPr>
        <w:kinsoku/>
        <w:wordWrap/>
        <w:overflowPunct/>
        <w:topLinePunct w:val="0"/>
        <w:autoSpaceDE/>
        <w:autoSpaceDN/>
        <w:bidi w:val="0"/>
        <w:adjustRightInd/>
        <w:snapToGrid/>
        <w:spacing w:line="450" w:lineRule="exact"/>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    6.2乙方提供税率为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的增值税专用发票。</w:t>
      </w:r>
    </w:p>
    <w:p w14:paraId="580716B7">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6.3乙方在向甲方申请付款前，应提供与甲方确认付款金额等额的合法、有效、完整、准确的增值税专用发票。若乙方提供的发票不符合要求的，甲方有权拒收增值税专用发票，并有权暂停支付相应款项，乙方不得以此为由终止履行合同的义务。如因乙方不能按期提供发票或提供的发票不符合要求而导致付款延期的，由其自行承担后果，甲方不承担任何责任。</w:t>
      </w:r>
    </w:p>
    <w:p w14:paraId="7C4472E5">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6.4若乙方未按上述约定向甲方开具足额增值税发票或因乙方原因导致提供的增值税发票甲方不能认证、抵扣的，乙方应按甲方要求采取补救措施，同时，甲方有权要求乙方支付本合同暂定总价的0.5%的违约金并承担甲方未能抵扣而产生的全部税费。</w:t>
      </w:r>
    </w:p>
    <w:p w14:paraId="6874A719">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6.5若乙方纳税人身份与合同约定不符或者计税方式发生变化，并导致甲方可抵扣的进项税额减少或被税务机关要求补缴税款的，则减少的进项税额或补缴的税款应由乙方承担，甲方有权从乙方工程款中扣除。</w:t>
      </w:r>
    </w:p>
    <w:p w14:paraId="5A67DE77">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6.6若甲方从合同价款中扣除了违约金、损失赔偿额等款项的，乙方仍应按扣除前的合同金额开具增值税发票。</w:t>
      </w:r>
    </w:p>
    <w:p w14:paraId="2999A4F6">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6.7增值税发票开票信息</w:t>
      </w:r>
    </w:p>
    <w:p w14:paraId="360A8B83">
      <w:pPr>
        <w:keepNext w:val="0"/>
        <w:keepLines w:val="0"/>
        <w:pageBreakBefore w:val="0"/>
        <w:widowControl w:val="0"/>
        <w:numPr>
          <w:ilvl w:val="0"/>
          <w:numId w:val="3"/>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甲方增值税发票开票信息</w:t>
      </w:r>
    </w:p>
    <w:p w14:paraId="26867405">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企业名称:</w:t>
      </w:r>
    </w:p>
    <w:p w14:paraId="09737177">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纳税人识别号:</w:t>
      </w:r>
    </w:p>
    <w:p w14:paraId="3DB949C5">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银行账户:</w:t>
      </w:r>
    </w:p>
    <w:p w14:paraId="0203318A">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开户银行:</w:t>
      </w:r>
    </w:p>
    <w:p w14:paraId="65473495">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地址:</w:t>
      </w:r>
    </w:p>
    <w:p w14:paraId="7E9FE89A">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电话:</w:t>
      </w:r>
    </w:p>
    <w:p w14:paraId="2A9193FF">
      <w:pPr>
        <w:keepNext w:val="0"/>
        <w:keepLines w:val="0"/>
        <w:pageBreakBefore w:val="0"/>
        <w:widowControl w:val="0"/>
        <w:numPr>
          <w:ilvl w:val="0"/>
          <w:numId w:val="3"/>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乙方增值税发票开票信息</w:t>
      </w:r>
    </w:p>
    <w:p w14:paraId="4CBD59D1">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企业名称:</w:t>
      </w:r>
    </w:p>
    <w:p w14:paraId="01FB7DAB">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纳税人识别号:</w:t>
      </w:r>
    </w:p>
    <w:p w14:paraId="2FFE793C">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银行账户:</w:t>
      </w:r>
    </w:p>
    <w:p w14:paraId="71EF6D82">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开户银行:</w:t>
      </w:r>
    </w:p>
    <w:p w14:paraId="1435D923">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地址:</w:t>
      </w:r>
    </w:p>
    <w:p w14:paraId="46CE5A3A">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电话:</w:t>
      </w:r>
    </w:p>
    <w:p w14:paraId="6F36EB30">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双方义务</w:t>
      </w:r>
    </w:p>
    <w:p w14:paraId="7F3A510E">
      <w:pPr>
        <w:keepNext w:val="0"/>
        <w:keepLines w:val="0"/>
        <w:pageBreakBefore w:val="0"/>
        <w:widowControl w:val="0"/>
        <w:numPr>
          <w:ilvl w:val="0"/>
          <w:numId w:val="0"/>
        </w:numPr>
        <w:kinsoku/>
        <w:wordWrap/>
        <w:overflowPunct/>
        <w:topLinePunct w:val="0"/>
        <w:autoSpaceDE/>
        <w:autoSpaceDN/>
        <w:bidi w:val="0"/>
        <w:adjustRightInd/>
        <w:snapToGrid/>
        <w:spacing w:line="450" w:lineRule="exact"/>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    1.甲方义务</w:t>
      </w:r>
    </w:p>
    <w:p w14:paraId="7B45B7C6">
      <w:pPr>
        <w:keepNext w:val="0"/>
        <w:keepLines w:val="0"/>
        <w:pageBreakBefore w:val="0"/>
        <w:widowControl w:val="0"/>
        <w:numPr>
          <w:ilvl w:val="0"/>
          <w:numId w:val="0"/>
        </w:numPr>
        <w:kinsoku/>
        <w:wordWrap/>
        <w:overflowPunct/>
        <w:topLinePunct w:val="0"/>
        <w:autoSpaceDE/>
        <w:autoSpaceDN/>
        <w:bidi w:val="0"/>
        <w:adjustRightInd/>
        <w:snapToGrid/>
        <w:spacing w:line="450" w:lineRule="exact"/>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    (1)委派现场代表</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，联系电话:</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负责对工程建设进行全面管理，协调各方关系、及时对工程服务质量进行监督检查并参与各阶段验收和签证工作。</w:t>
      </w:r>
    </w:p>
    <w:p w14:paraId="5A41550E">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(2)向乙方提供施工通道以及材料堆放场地，保证运输道路畅通。</w:t>
      </w:r>
    </w:p>
    <w:p w14:paraId="14B1CE04">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(3)负责协调乙方与其他各承包单位的关系。</w:t>
      </w:r>
    </w:p>
    <w:p w14:paraId="062C6063">
      <w:pPr>
        <w:keepNext w:val="0"/>
        <w:keepLines w:val="0"/>
        <w:pageBreakBefore w:val="0"/>
        <w:widowControl w:val="0"/>
        <w:numPr>
          <w:ilvl w:val="0"/>
          <w:numId w:val="0"/>
        </w:numPr>
        <w:kinsoku/>
        <w:wordWrap/>
        <w:overflowPunct/>
        <w:topLinePunct w:val="0"/>
        <w:autoSpaceDE/>
        <w:autoSpaceDN/>
        <w:bidi w:val="0"/>
        <w:adjustRightInd/>
        <w:snapToGrid/>
        <w:spacing w:line="450" w:lineRule="exact"/>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 xml:space="preserve">    (4)按相关规定办理施工所需证件、手续，提供有关的资料。</w:t>
      </w:r>
    </w:p>
    <w:p w14:paraId="60C96846">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2.乙方义务</w:t>
      </w:r>
    </w:p>
    <w:p w14:paraId="70D38E10">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(1)委派现场代表</w:t>
      </w:r>
      <w:r>
        <w:rPr>
          <w:rFonts w:hint="eastAsia" w:ascii="宋体" w:hAnsi="宋体" w:eastAsia="宋体" w:cs="宋体"/>
          <w:sz w:val="24"/>
          <w:u w:val="single"/>
          <w:lang w:val="en-US" w:eastAsia="zh-CN"/>
        </w:rPr>
        <w:t xml:space="preserve">         </w:t>
      </w:r>
      <w:r>
        <w:rPr>
          <w:rFonts w:hint="eastAsia" w:ascii="宋体" w:hAnsi="宋体" w:cs="宋体"/>
          <w:sz w:val="24"/>
          <w:u w:val="none"/>
          <w:lang w:val="en-US" w:eastAsia="zh-CN"/>
        </w:rPr>
        <w:t>，</w:t>
      </w:r>
      <w:r>
        <w:rPr>
          <w:rFonts w:hint="eastAsia" w:ascii="宋体" w:hAnsi="宋体" w:eastAsia="宋体" w:cs="宋体"/>
          <w:sz w:val="24"/>
          <w:u w:val="none"/>
          <w:lang w:val="en-US" w:eastAsia="zh-CN"/>
        </w:rPr>
        <w:t>联系电话:</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负责施工期间的全面管理。</w:t>
      </w:r>
    </w:p>
    <w:p w14:paraId="0E51B846">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(2)根据甲方确认的施工图纸，按照本合同约定完成承包范围内的施工工作。</w:t>
      </w:r>
    </w:p>
    <w:p w14:paraId="5AB985D8">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(3)按照相关安全法规进行安全施工，遵守甲方施工现场的有关管理规定，加强施工人员的安全教育，承担在施工过程中的安全责任。</w:t>
      </w:r>
    </w:p>
    <w:p w14:paraId="6E595D6E">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(4)因施工质量原因，造成项目无法通水或交付使用的，由乙方承担全部责任，甲方不支付任何费用。</w:t>
      </w:r>
    </w:p>
    <w:p w14:paraId="2B77BDBE">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八、维修及维护</w:t>
      </w:r>
    </w:p>
    <w:p w14:paraId="429F4BD2">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1.质保期:12个月；</w:t>
      </w:r>
    </w:p>
    <w:p w14:paraId="1A92D8F7">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2.除因甲方后续施工造成的损坏由甲方负责外，本项目服务范围内的所有管道的维修、维护及由此产生的费用均由乙方负责及承担。</w:t>
      </w:r>
    </w:p>
    <w:p w14:paraId="04CD99A6">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九、违约责任</w:t>
      </w:r>
    </w:p>
    <w:p w14:paraId="72CB44FA">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1、乙方擅自把工程分包或转包给其他单位，甲方有权解除合同。</w:t>
      </w:r>
    </w:p>
    <w:p w14:paraId="18E98DDD">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2、因乙方原因造成的停工，工期不顺延。</w:t>
      </w:r>
    </w:p>
    <w:p w14:paraId="7EFAB616">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乙方施工质量不符合合同约定的，乙方应自行修复至符合合同约定，费用自行承担，并承担因此给甲方造成的损失，甲方的损失包括但不限于对于第三方的赔偿、诉讼费、保全费、保全保险费、律师费、差旅费。</w:t>
      </w:r>
    </w:p>
    <w:p w14:paraId="63520A1C">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4、乙方因自身原因导致关键节点延误或延期交工的，每延误一日，应向甲方支付合同价款2‰的违约金，违约金不足以赔偿损失的，乙方还应当补足损失；</w:t>
      </w:r>
    </w:p>
    <w:p w14:paraId="45287C9B">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5、甲方违约责任</w:t>
      </w:r>
      <w:r>
        <w:rPr>
          <w:rFonts w:hint="eastAsia" w:ascii="宋体" w:hAnsi="宋体" w:cs="宋体"/>
          <w:sz w:val="24"/>
          <w:u w:val="none"/>
          <w:lang w:val="en-US" w:eastAsia="zh-CN"/>
        </w:rPr>
        <w:t>：</w:t>
      </w:r>
      <w:r>
        <w:rPr>
          <w:rFonts w:hint="eastAsia" w:ascii="宋体" w:hAnsi="宋体" w:eastAsia="宋体" w:cs="宋体"/>
          <w:sz w:val="24"/>
          <w:u w:val="none"/>
          <w:lang w:val="en-US" w:eastAsia="zh-CN"/>
        </w:rPr>
        <w:t>甲方未按本合同第</w:t>
      </w:r>
      <w:r>
        <w:rPr>
          <w:rFonts w:hint="eastAsia" w:ascii="宋体" w:hAnsi="宋体" w:cs="宋体"/>
          <w:sz w:val="24"/>
          <w:u w:val="none"/>
          <w:lang w:val="en-US" w:eastAsia="zh-CN"/>
        </w:rPr>
        <w:t>六</w:t>
      </w:r>
      <w:r>
        <w:rPr>
          <w:rFonts w:hint="eastAsia" w:ascii="宋体" w:hAnsi="宋体" w:eastAsia="宋体" w:cs="宋体"/>
          <w:sz w:val="24"/>
          <w:u w:val="none"/>
          <w:lang w:val="en-US" w:eastAsia="zh-CN"/>
        </w:rPr>
        <w:t>条约定时间支付工程款的，每逾期一日，应按当期应付未付款项的</w:t>
      </w:r>
      <w:r>
        <w:rPr>
          <w:rFonts w:hint="eastAsia" w:ascii="宋体" w:hAnsi="宋体" w:cs="宋体"/>
          <w:sz w:val="24"/>
          <w:u w:val="none"/>
          <w:lang w:val="en-US" w:eastAsia="zh-CN"/>
        </w:rPr>
        <w:t>万</w:t>
      </w:r>
      <w:r>
        <w:rPr>
          <w:rFonts w:hint="eastAsia" w:ascii="宋体" w:hAnsi="宋体" w:eastAsia="宋体" w:cs="宋体"/>
          <w:sz w:val="24"/>
          <w:u w:val="none"/>
          <w:lang w:val="en-US" w:eastAsia="zh-CN"/>
        </w:rPr>
        <w:t>分之一向乙方支付违约金，且甲方应承担由此给乙方造成的全部损失。</w:t>
      </w:r>
    </w:p>
    <w:p w14:paraId="4A05EB63">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十、争议解决办法</w:t>
      </w:r>
    </w:p>
    <w:p w14:paraId="3A7B8F25">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本合同履行期间，双方发生争议时，可采取协商调解的办法解决</w:t>
      </w:r>
      <w:r>
        <w:rPr>
          <w:rFonts w:hint="eastAsia" w:ascii="宋体" w:hAnsi="宋体" w:cs="宋体"/>
          <w:sz w:val="24"/>
          <w:u w:val="none"/>
          <w:lang w:val="en-US" w:eastAsia="zh-CN"/>
        </w:rPr>
        <w:t>；</w:t>
      </w:r>
      <w:r>
        <w:rPr>
          <w:rFonts w:hint="eastAsia" w:ascii="宋体" w:hAnsi="宋体" w:eastAsia="宋体" w:cs="宋体"/>
          <w:sz w:val="24"/>
          <w:u w:val="none"/>
          <w:lang w:val="en-US" w:eastAsia="zh-CN"/>
        </w:rPr>
        <w:t>双方协商或调解不成时，均可向项目所在地法院起诉。</w:t>
      </w:r>
    </w:p>
    <w:p w14:paraId="4B5151E3">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十一、其他约定</w:t>
      </w:r>
    </w:p>
    <w:p w14:paraId="7F187543">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1、本合同自成立时生效。</w:t>
      </w:r>
    </w:p>
    <w:p w14:paraId="2BF4C5D1">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2、本合同印刷字体内容若有修改变动(包括但不限于删除、增添、涂改等)，必须经双方在修改处同时盖章确认方可生效，否则仍以原印刷字体内容为准。</w:t>
      </w:r>
    </w:p>
    <w:p w14:paraId="2BDA77FB">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3、本合同附件为本合同不可分割的组成部分，与本合同具有同等法律效力，包括:</w:t>
      </w:r>
    </w:p>
    <w:p w14:paraId="7B374E7D">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附件一：《工程量清单、材料品牌及单价表》</w:t>
      </w:r>
    </w:p>
    <w:p w14:paraId="390075E9">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附件二：《施工图纸及施工界面划分图》</w:t>
      </w:r>
    </w:p>
    <w:p w14:paraId="584FB091">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4、本合同一式陆份，具有同等法律效力，甲方执肆份，乙方贰份。</w:t>
      </w:r>
    </w:p>
    <w:p w14:paraId="65B3613C">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u w:val="none"/>
          <w:lang w:val="en-US" w:eastAsia="zh-CN"/>
        </w:rPr>
      </w:pPr>
      <w:r>
        <w:rPr>
          <w:rFonts w:hint="eastAsia" w:ascii="宋体" w:hAnsi="宋体" w:eastAsia="宋体" w:cs="宋体"/>
          <w:sz w:val="24"/>
          <w:u w:val="none"/>
          <w:lang w:val="en-US" w:eastAsia="zh-CN"/>
        </w:rPr>
        <w:t>5、本合同未尽事宜，由甲乙双方另行协商。</w:t>
      </w:r>
    </w:p>
    <w:p w14:paraId="2692F444">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rPr>
      </w:pPr>
      <w:r>
        <w:rPr>
          <w:rFonts w:hint="eastAsia" w:ascii="宋体" w:hAnsi="宋体" w:eastAsia="宋体" w:cs="宋体"/>
          <w:b w:val="0"/>
          <w:bCs w:val="0"/>
          <w:sz w:val="24"/>
        </w:rPr>
        <w:t xml:space="preserve">   </w:t>
      </w:r>
      <w:r>
        <w:rPr>
          <w:rFonts w:hint="eastAsia" w:ascii="宋体" w:hAnsi="宋体" w:eastAsia="宋体" w:cs="宋体"/>
          <w:sz w:val="24"/>
        </w:rPr>
        <w:t xml:space="preserve">  </w:t>
      </w:r>
    </w:p>
    <w:p w14:paraId="7A8E5AF3">
      <w:pPr>
        <w:rPr>
          <w:rFonts w:ascii="宋体" w:hAnsi="宋体" w:cs="宋体"/>
          <w:sz w:val="24"/>
        </w:rPr>
      </w:pPr>
    </w:p>
    <w:p w14:paraId="699B936D">
      <w:pPr>
        <w:pStyle w:val="5"/>
        <w:spacing w:line="420" w:lineRule="exact"/>
        <w:rPr>
          <w:rFonts w:ascii="宋体" w:hAnsi="宋体" w:cs="宋体"/>
          <w:sz w:val="24"/>
          <w:szCs w:val="24"/>
        </w:rPr>
      </w:pP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eastAsia="宋体" w:cs="宋体"/>
          <w:b w:val="0"/>
          <w:bCs w:val="0"/>
          <w:kern w:val="2"/>
          <w:sz w:val="24"/>
          <w:szCs w:val="24"/>
          <w:lang w:val="en-US" w:eastAsia="zh-CN" w:bidi="ar-SA"/>
        </w:rPr>
        <w:t xml:space="preserve">甲    方 </w:t>
      </w:r>
      <w:r>
        <w:rPr>
          <w:rFonts w:ascii="宋体" w:hAnsi="宋体" w:cs="宋体"/>
          <w:sz w:val="24"/>
          <w:szCs w:val="24"/>
        </w:rPr>
        <w:t xml:space="preserve">                             </w:t>
      </w:r>
      <w:r>
        <w:rPr>
          <w:rFonts w:ascii="宋体" w:hAnsi="宋体" w:cs="宋体"/>
          <w:b w:val="0"/>
          <w:bCs w:val="0"/>
          <w:sz w:val="24"/>
        </w:rPr>
        <w:t xml:space="preserve">  </w:t>
      </w:r>
      <w:r>
        <w:rPr>
          <w:rFonts w:hint="eastAsia" w:ascii="宋体" w:hAnsi="宋体" w:cs="宋体"/>
          <w:sz w:val="24"/>
          <w:lang w:val="en-US" w:eastAsia="zh-CN"/>
        </w:rPr>
        <w:t xml:space="preserve"> </w:t>
      </w:r>
      <w:r>
        <w:rPr>
          <w:rFonts w:hint="eastAsia" w:ascii="宋体" w:hAnsi="宋体" w:eastAsia="宋体" w:cs="宋体"/>
          <w:b w:val="0"/>
          <w:bCs w:val="0"/>
          <w:kern w:val="2"/>
          <w:sz w:val="24"/>
          <w:szCs w:val="24"/>
          <w:lang w:val="en-US" w:eastAsia="zh-CN" w:bidi="ar-SA"/>
        </w:rPr>
        <w:t>乙    方</w:t>
      </w:r>
      <w:r>
        <w:rPr>
          <w:rFonts w:ascii="宋体" w:hAnsi="宋体" w:cs="宋体"/>
          <w:b w:val="0"/>
          <w:bCs w:val="0"/>
          <w:sz w:val="24"/>
        </w:rPr>
        <w:t xml:space="preserve">      </w:t>
      </w:r>
      <w:r>
        <w:rPr>
          <w:rFonts w:ascii="宋体" w:hAnsi="宋体" w:cs="宋体"/>
          <w:sz w:val="24"/>
          <w:szCs w:val="24"/>
        </w:rPr>
        <w:t xml:space="preserve">     </w:t>
      </w:r>
    </w:p>
    <w:p w14:paraId="454C6EE0">
      <w:pPr>
        <w:pStyle w:val="12"/>
        <w:spacing w:line="420" w:lineRule="exact"/>
        <w:ind w:firstLine="240" w:firstLineChars="100"/>
        <w:rPr>
          <w:rFonts w:ascii="宋体" w:hAnsi="宋体" w:cs="宋体"/>
        </w:rPr>
      </w:pPr>
      <w:r>
        <w:rPr>
          <w:rFonts w:hint="eastAsia" w:ascii="宋体" w:hAnsi="宋体" w:cs="宋体"/>
          <w:lang w:eastAsia="zh-CN"/>
        </w:rPr>
        <w:t>四川定弘邦路桥工程有限公司</w:t>
      </w:r>
      <w:r>
        <w:rPr>
          <w:rFonts w:hint="eastAsia" w:ascii="宋体" w:hAnsi="宋体" w:cs="宋体"/>
        </w:rPr>
        <w:t xml:space="preserve"> </w:t>
      </w:r>
      <w:r>
        <w:rPr>
          <w:rFonts w:ascii="宋体" w:hAnsi="宋体" w:cs="宋体"/>
        </w:rPr>
        <w:t xml:space="preserve">              </w:t>
      </w:r>
      <w:r>
        <w:rPr>
          <w:rFonts w:hint="eastAsia" w:ascii="宋体" w:hAnsi="宋体"/>
        </w:rPr>
        <w:t>xxxxx</w:t>
      </w:r>
    </w:p>
    <w:p w14:paraId="62806B0B">
      <w:pPr>
        <w:pStyle w:val="12"/>
        <w:spacing w:line="420" w:lineRule="exact"/>
        <w:rPr>
          <w:rFonts w:ascii="宋体" w:hAnsi="宋体" w:cs="宋体"/>
        </w:rPr>
      </w:pPr>
      <w:r>
        <w:rPr>
          <w:rFonts w:ascii="宋体" w:hAnsi="宋体" w:cs="宋体"/>
        </w:rPr>
        <w:t xml:space="preserve">               </w:t>
      </w:r>
    </w:p>
    <w:p w14:paraId="06079A42">
      <w:pPr>
        <w:spacing w:line="420" w:lineRule="exact"/>
        <w:ind w:firstLine="240" w:firstLineChars="100"/>
        <w:rPr>
          <w:rFonts w:ascii="宋体" w:hAnsi="宋体" w:cs="宋体"/>
          <w:sz w:val="24"/>
        </w:rPr>
      </w:pPr>
      <w:r>
        <w:rPr>
          <w:rFonts w:hint="eastAsia" w:ascii="宋体" w:hAnsi="宋体" w:cs="宋体"/>
          <w:sz w:val="24"/>
        </w:rPr>
        <w:t>法定代表人（签章）：</w:t>
      </w:r>
      <w:r>
        <w:rPr>
          <w:rFonts w:ascii="宋体" w:hAnsi="宋体" w:cs="宋体"/>
          <w:sz w:val="24"/>
        </w:rPr>
        <w:t xml:space="preserve">                      </w:t>
      </w:r>
      <w:r>
        <w:rPr>
          <w:rFonts w:hint="eastAsia" w:ascii="宋体" w:hAnsi="宋体" w:cs="宋体"/>
          <w:sz w:val="24"/>
        </w:rPr>
        <w:t>法定代表人（签章）：</w:t>
      </w:r>
      <w:r>
        <w:rPr>
          <w:rFonts w:ascii="宋体" w:hAnsi="宋体" w:cs="宋体"/>
          <w:sz w:val="24"/>
        </w:rPr>
        <w:t xml:space="preserve">       </w:t>
      </w:r>
    </w:p>
    <w:p w14:paraId="47C8A743">
      <w:pPr>
        <w:pStyle w:val="12"/>
        <w:spacing w:line="420" w:lineRule="exact"/>
        <w:rPr>
          <w:rFonts w:ascii="宋体" w:hAnsi="宋体" w:cs="宋体"/>
        </w:rPr>
      </w:pPr>
      <w:r>
        <w:rPr>
          <w:rFonts w:ascii="宋体" w:hAnsi="宋体" w:cs="宋体"/>
        </w:rPr>
        <w:t xml:space="preserve">  </w:t>
      </w:r>
      <w:r>
        <w:rPr>
          <w:rFonts w:hint="eastAsia" w:ascii="宋体" w:hAnsi="宋体" w:cs="宋体"/>
        </w:rPr>
        <w:t>或</w:t>
      </w:r>
      <w:r>
        <w:rPr>
          <w:rFonts w:ascii="宋体" w:hAnsi="宋体" w:cs="宋体"/>
        </w:rPr>
        <w:t xml:space="preserve">                                        </w:t>
      </w:r>
      <w:r>
        <w:rPr>
          <w:rFonts w:hint="eastAsia" w:ascii="宋体" w:hAnsi="宋体" w:cs="宋体"/>
        </w:rPr>
        <w:t>或</w:t>
      </w:r>
      <w:r>
        <w:rPr>
          <w:rFonts w:ascii="宋体" w:hAnsi="宋体" w:cs="宋体"/>
        </w:rPr>
        <w:t xml:space="preserve">           </w:t>
      </w:r>
    </w:p>
    <w:p w14:paraId="0D662AEC">
      <w:pPr>
        <w:pStyle w:val="12"/>
        <w:spacing w:line="420" w:lineRule="exact"/>
        <w:ind w:firstLine="120" w:firstLineChars="50"/>
        <w:rPr>
          <w:rFonts w:ascii="宋体" w:hAnsi="宋体" w:cs="宋体"/>
        </w:rPr>
      </w:pPr>
      <w:r>
        <w:rPr>
          <w:rFonts w:ascii="宋体" w:hAnsi="宋体" w:cs="宋体"/>
        </w:rPr>
        <w:t xml:space="preserve"> </w:t>
      </w:r>
      <w:r>
        <w:rPr>
          <w:rFonts w:hint="eastAsia" w:ascii="宋体" w:hAnsi="宋体" w:cs="宋体"/>
        </w:rPr>
        <w:t>委托代理人（签字）：</w:t>
      </w:r>
      <w:r>
        <w:rPr>
          <w:rFonts w:ascii="宋体" w:hAnsi="宋体" w:cs="宋体"/>
        </w:rPr>
        <w:t xml:space="preserve">                      </w:t>
      </w:r>
      <w:r>
        <w:rPr>
          <w:rFonts w:hint="eastAsia" w:ascii="宋体" w:hAnsi="宋体" w:cs="宋体"/>
        </w:rPr>
        <w:t>委托代理人（签字）：</w:t>
      </w:r>
    </w:p>
    <w:p w14:paraId="104661B3">
      <w:pPr>
        <w:pStyle w:val="12"/>
        <w:spacing w:line="420" w:lineRule="exact"/>
        <w:ind w:firstLine="199" w:firstLineChars="83"/>
        <w:rPr>
          <w:rFonts w:ascii="宋体" w:hAnsi="宋体" w:cs="宋体"/>
        </w:rPr>
      </w:pPr>
      <w:r>
        <w:rPr>
          <w:rFonts w:hint="eastAsia" w:ascii="宋体" w:hAnsi="宋体" w:cs="宋体"/>
        </w:rPr>
        <w:t>开户银行：    　　　　　　　　　　       开户银行：</w:t>
      </w:r>
    </w:p>
    <w:p w14:paraId="668A6E8C">
      <w:pPr>
        <w:pStyle w:val="12"/>
        <w:spacing w:line="420" w:lineRule="exact"/>
        <w:ind w:firstLine="199" w:firstLineChars="83"/>
        <w:rPr>
          <w:rFonts w:ascii="宋体" w:hAnsi="宋体" w:cs="宋体"/>
        </w:rPr>
      </w:pPr>
      <w:r>
        <w:rPr>
          <w:rFonts w:hint="eastAsia" w:ascii="宋体" w:hAnsi="宋体" w:cs="宋体"/>
        </w:rPr>
        <w:t>帐    号：    　　　　　　　　　　       帐    号：</w:t>
      </w:r>
    </w:p>
    <w:p w14:paraId="740DFDB3">
      <w:pPr>
        <w:pStyle w:val="12"/>
        <w:spacing w:line="420" w:lineRule="exact"/>
        <w:rPr>
          <w:rFonts w:ascii="宋体" w:hAnsi="宋体" w:cs="宋体"/>
        </w:rPr>
      </w:pPr>
    </w:p>
    <w:p w14:paraId="35DAC184">
      <w:pPr>
        <w:pStyle w:val="12"/>
        <w:spacing w:line="420" w:lineRule="exact"/>
        <w:ind w:firstLine="120" w:firstLineChars="50"/>
      </w:pPr>
      <w:r>
        <w:rPr>
          <w:rFonts w:ascii="宋体" w:hAnsi="宋体" w:cs="宋体"/>
        </w:rPr>
        <w:t xml:space="preserve"> </w:t>
      </w:r>
      <w:r>
        <w:rPr>
          <w:rFonts w:hint="eastAsia" w:ascii="宋体" w:hAnsi="宋体" w:cs="宋体"/>
        </w:rPr>
        <w:t>时</w:t>
      </w:r>
      <w:r>
        <w:rPr>
          <w:rFonts w:ascii="宋体" w:hAnsi="宋体" w:cs="宋体"/>
        </w:rPr>
        <w:t xml:space="preserve">  </w:t>
      </w:r>
      <w:r>
        <w:rPr>
          <w:rFonts w:hint="eastAsia" w:ascii="宋体" w:hAnsi="宋体" w:cs="宋体"/>
        </w:rPr>
        <w:t>间：</w:t>
      </w:r>
      <w:r>
        <w:rPr>
          <w:rFonts w:ascii="宋体" w:hAnsi="宋体" w:cs="宋体"/>
        </w:rPr>
        <w:t xml:space="preserve">  年   月   日                   时  间：  年   月   日</w:t>
      </w:r>
    </w:p>
    <w:sectPr>
      <w:headerReference r:id="rId3" w:type="default"/>
      <w:footerReference r:id="rId4" w:type="default"/>
      <w:pgSz w:w="11906" w:h="16838"/>
      <w:pgMar w:top="1134" w:right="1247" w:bottom="1134" w:left="1247" w:header="964" w:footer="992" w:gutter="0"/>
      <w:pgNumType w:fmt="decimal"/>
      <w:cols w:space="720" w:num="1"/>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CBCA">
    <w:pPr>
      <w:pStyle w:val="7"/>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80077">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168007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047A">
    <w:pPr>
      <w:pStyle w:val="8"/>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57ABD"/>
    <w:multiLevelType w:val="singleLevel"/>
    <w:tmpl w:val="8A957ABD"/>
    <w:lvl w:ilvl="0" w:tentative="0">
      <w:start w:val="7"/>
      <w:numFmt w:val="chineseCounting"/>
      <w:suff w:val="nothing"/>
      <w:lvlText w:val="%1、"/>
      <w:lvlJc w:val="left"/>
      <w:rPr>
        <w:rFonts w:hint="eastAsia"/>
      </w:rPr>
    </w:lvl>
  </w:abstractNum>
  <w:abstractNum w:abstractNumId="1">
    <w:nsid w:val="AF999668"/>
    <w:multiLevelType w:val="singleLevel"/>
    <w:tmpl w:val="AF999668"/>
    <w:lvl w:ilvl="0" w:tentative="0">
      <w:start w:val="1"/>
      <w:numFmt w:val="decimal"/>
      <w:suff w:val="nothing"/>
      <w:lvlText w:val="（%1）"/>
      <w:lvlJc w:val="left"/>
    </w:lvl>
  </w:abstractNum>
  <w:abstractNum w:abstractNumId="2">
    <w:nsid w:val="0F3786CD"/>
    <w:multiLevelType w:val="singleLevel"/>
    <w:tmpl w:val="0F3786CD"/>
    <w:lvl w:ilvl="0" w:tentative="0">
      <w:start w:val="6"/>
      <w:numFmt w:val="decimal"/>
      <w:suff w:val="nothing"/>
      <w:lvlText w:val="%1、"/>
      <w:lvlJc w:val="left"/>
    </w:lvl>
  </w:abstractNum>
  <w:abstractNum w:abstractNumId="3">
    <w:nsid w:val="45C2AD96"/>
    <w:multiLevelType w:val="singleLevel"/>
    <w:tmpl w:val="45C2AD9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F1675"/>
    <w:rsid w:val="0BF27F50"/>
    <w:rsid w:val="1EB564D5"/>
    <w:rsid w:val="3D1830FE"/>
    <w:rsid w:val="490C02BF"/>
    <w:rsid w:val="4AD73CBF"/>
    <w:rsid w:val="60CF1675"/>
    <w:rsid w:val="72796D1A"/>
    <w:rsid w:val="73C30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style>
  <w:style w:type="paragraph" w:styleId="3">
    <w:name w:val="Body Text First Indent"/>
    <w:basedOn w:val="2"/>
    <w:next w:val="4"/>
    <w:qFormat/>
    <w:uiPriority w:val="0"/>
    <w:pPr>
      <w:ind w:firstLine="420" w:firstLineChars="100"/>
    </w:pPr>
    <w:rPr>
      <w:rFonts w:ascii="Calibri"/>
      <w:sz w:val="21"/>
      <w:szCs w:val="22"/>
    </w:rPr>
  </w:style>
  <w:style w:type="paragraph" w:customStyle="1" w:styleId="4">
    <w:name w:val="段落正文"/>
    <w:basedOn w:val="1"/>
    <w:qFormat/>
    <w:uiPriority w:val="0"/>
    <w:pPr>
      <w:spacing w:before="50" w:beforeLines="50" w:line="360" w:lineRule="auto"/>
      <w:ind w:firstLine="200" w:firstLineChars="200"/>
    </w:pPr>
    <w:rPr>
      <w:spacing w:val="2"/>
      <w:sz w:val="24"/>
      <w:szCs w:val="20"/>
    </w:rPr>
  </w:style>
  <w:style w:type="paragraph" w:styleId="6">
    <w:name w:val="annotation text"/>
    <w:basedOn w:val="1"/>
    <w:qFormat/>
    <w:uiPriority w:val="0"/>
    <w:pPr>
      <w:jc w:val="left"/>
    </w:pPr>
  </w:style>
  <w:style w:type="paragraph" w:styleId="7">
    <w:name w:val="footer"/>
    <w:basedOn w:val="1"/>
    <w:next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11">
    <w:name w:val="Strong"/>
    <w:basedOn w:val="10"/>
    <w:qFormat/>
    <w:uiPriority w:val="0"/>
    <w:rPr>
      <w:b/>
    </w:rPr>
  </w:style>
  <w:style w:type="paragraph" w:customStyle="1" w:styleId="12">
    <w:name w:val="正文文本缩进2"/>
    <w:basedOn w:val="1"/>
    <w:qFormat/>
    <w:uiPriority w:val="0"/>
    <w:pPr>
      <w:spacing w:line="264" w:lineRule="auto"/>
      <w:ind w:firstLine="480" w:firstLineChars="200"/>
    </w:pPr>
    <w:rPr>
      <w:sz w:val="24"/>
    </w:rPr>
  </w:style>
  <w:style w:type="character" w:customStyle="1" w:styleId="13">
    <w:name w:val="标题 3 Char Char"/>
    <w:qFormat/>
    <w:uiPriority w:val="0"/>
    <w:rPr>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2625</Words>
  <Characters>2723</Characters>
  <Lines>0</Lines>
  <Paragraphs>0</Paragraphs>
  <TotalTime>15</TotalTime>
  <ScaleCrop>false</ScaleCrop>
  <LinksUpToDate>false</LinksUpToDate>
  <CharactersWithSpaces>3189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2026-05-08T00:59:00Z</dcterms:created>
  <dc:creator>三岁羡</dc:creator>
  <cp:lastModifiedBy>橙橙橙橙</cp:lastModifiedBy>
  <cp:lastPrinted>2026-05-15T03:40:00Z</cp:lastPrinted>
  <dcterms:modified xsi:type="dcterms:W3CDTF">2026-05-18T02:03:29Z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36AE379DF17646799E3860C53D62E7B4_13</vt:lpwstr>
  </property>
  <property fmtid="{D5CDD505-2E9C-101B-9397-08002B2CF9AE}" pid="4" name="KSOTemplateDocerSaveRecord">
    <vt:lpwstr>eyJoZGlkIjoiY2EzMTdiZjdhYWZkMTEzYjNkMGQ0Mjg5NWE5NTIxNDMiLCJ1c2VySWQiOiIxNTgyNzQyNzY1In0=</vt:lpwstr>
  </property>
</Properties>
</file>