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BAE4FA">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jc w:val="center"/>
        <w:textAlignment w:val="auto"/>
        <w:rPr>
          <w:rFonts w:hint="eastAsia" w:ascii="Times New Roman" w:hAnsi="Times New Roman" w:eastAsia="方正小标宋简体" w:cs="Times New Roman"/>
          <w:b w:val="0"/>
          <w:bCs/>
          <w:spacing w:val="-8"/>
          <w:kern w:val="0"/>
          <w:sz w:val="44"/>
          <w:szCs w:val="44"/>
          <w:lang w:val="en-US" w:eastAsia="zh-CN" w:bidi="ar"/>
        </w:rPr>
      </w:pPr>
      <w:bookmarkStart w:id="0" w:name="_GoBack"/>
      <w:bookmarkEnd w:id="0"/>
      <w:commentRangeStart w:id="0"/>
      <w:r>
        <w:rPr>
          <w:rFonts w:hint="eastAsia" w:ascii="Times New Roman" w:hAnsi="Times New Roman" w:eastAsia="方正小标宋简体" w:cs="Times New Roman"/>
          <w:b w:val="0"/>
          <w:bCs/>
          <w:spacing w:val="-8"/>
          <w:kern w:val="0"/>
          <w:sz w:val="44"/>
          <w:szCs w:val="44"/>
          <w:lang w:val="en-US" w:eastAsia="zh-CN" w:bidi="ar"/>
        </w:rPr>
        <w:t>七贤新居超市货物采购供应商履约</w:t>
      </w:r>
    </w:p>
    <w:p w14:paraId="28338059">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jc w:val="center"/>
        <w:textAlignment w:val="auto"/>
        <w:rPr>
          <w:rFonts w:hint="eastAsia" w:ascii="Times New Roman" w:hAnsi="Times New Roman" w:eastAsia="方正小标宋简体" w:cs="Times New Roman"/>
          <w:b w:val="0"/>
          <w:bCs/>
          <w:spacing w:val="-8"/>
          <w:kern w:val="0"/>
          <w:sz w:val="44"/>
          <w:szCs w:val="44"/>
          <w:lang w:val="en-US" w:eastAsia="zh-CN" w:bidi="ar"/>
        </w:rPr>
      </w:pPr>
      <w:r>
        <w:rPr>
          <w:rFonts w:hint="eastAsia" w:ascii="Times New Roman" w:hAnsi="Times New Roman" w:eastAsia="方正小标宋简体" w:cs="Times New Roman"/>
          <w:b w:val="0"/>
          <w:bCs/>
          <w:spacing w:val="-8"/>
          <w:kern w:val="0"/>
          <w:sz w:val="44"/>
          <w:szCs w:val="44"/>
          <w:lang w:val="en-US" w:eastAsia="zh-CN" w:bidi="ar"/>
        </w:rPr>
        <w:t>考核评价办法</w:t>
      </w:r>
      <w:commentRangeEnd w:id="0"/>
      <w:r>
        <w:commentReference w:id="0"/>
      </w:r>
    </w:p>
    <w:p w14:paraId="524415ED">
      <w:pPr>
        <w:rPr>
          <w:rFonts w:hint="eastAsia"/>
          <w:lang w:val="en-US" w:eastAsia="zh-CN"/>
        </w:rPr>
      </w:pPr>
    </w:p>
    <w:p w14:paraId="3DB9D93C">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一、考核目的</w:t>
      </w:r>
      <w:r>
        <w:rPr>
          <w:rFonts w:hint="eastAsia"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w:t>
      </w:r>
    </w:p>
    <w:p w14:paraId="08042988">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ind w:firstLine="560" w:firstLineChars="200"/>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为规范七贤新居超市</w:t>
      </w:r>
      <w:r>
        <w:rPr>
          <w:rFonts w:hint="eastAsia"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（暂定名）</w:t>
      </w: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货物采购供应商履约管理，客观评价供应商供货质量、配送时效、售后服务等综合履约情况，作为合同续签、继续合作、淘汰退出的重要依据。本考核适用于与德阳高恒物业管理有限公司签订七贤新居超市货物采购协议的所有供货供应商，考核结果作为合作期满是否续签合同的核心依据（合同约定考核合格方可续签，最多续签2次）。</w:t>
      </w:r>
    </w:p>
    <w:p w14:paraId="03520A8B">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二、考核组织与周期</w:t>
      </w:r>
    </w:p>
    <w:p w14:paraId="421E7BC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00" w:lineRule="exact"/>
        <w:ind w:firstLine="560" w:firstLineChars="200"/>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1.考核主体：</w:t>
      </w:r>
      <w:r>
        <w:rPr>
          <w:rFonts w:hint="eastAsia"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采购人及</w:t>
      </w: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超市运营管理部门具体实施考核。</w:t>
      </w:r>
    </w:p>
    <w:p w14:paraId="6B10B95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00" w:lineRule="exact"/>
        <w:ind w:firstLine="560" w:firstLineChars="200"/>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2.考核周期：实行季度考核+年度综合考核</w:t>
      </w:r>
    </w:p>
    <w:p w14:paraId="1BB6629B">
      <w:pPr>
        <w:keepNext w:val="0"/>
        <w:keepLines w:val="0"/>
        <w:pageBreakBefore w:val="0"/>
        <w:widowControl/>
        <w:numPr>
          <w:ilvl w:val="1"/>
          <w:numId w:val="0"/>
        </w:numPr>
        <w:suppressLineNumbers w:val="0"/>
        <w:kinsoku/>
        <w:wordWrap/>
        <w:overflowPunct/>
        <w:topLinePunct w:val="0"/>
        <w:autoSpaceDE/>
        <w:autoSpaceDN/>
        <w:bidi w:val="0"/>
        <w:adjustRightInd/>
        <w:snapToGrid/>
        <w:spacing w:before="0" w:beforeAutospacing="0" w:after="0" w:afterAutospacing="0" w:line="500" w:lineRule="exact"/>
        <w:ind w:firstLine="560" w:firstLineChars="200"/>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r>
        <w:rPr>
          <w:rFonts w:hint="eastAsia"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3.</w:t>
      </w: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季度考核：每自然季度开展1次，记录季度履约问题，季度考核得分作为年度综合考核计算基础；</w:t>
      </w:r>
    </w:p>
    <w:p w14:paraId="273CF580">
      <w:pPr>
        <w:keepNext w:val="0"/>
        <w:keepLines w:val="0"/>
        <w:pageBreakBefore w:val="0"/>
        <w:widowControl/>
        <w:numPr>
          <w:ilvl w:val="1"/>
          <w:numId w:val="0"/>
        </w:numPr>
        <w:suppressLineNumbers w:val="0"/>
        <w:kinsoku/>
        <w:wordWrap/>
        <w:overflowPunct/>
        <w:topLinePunct w:val="0"/>
        <w:autoSpaceDE/>
        <w:autoSpaceDN/>
        <w:bidi w:val="0"/>
        <w:adjustRightInd/>
        <w:snapToGrid/>
        <w:spacing w:before="0" w:beforeAutospacing="0" w:after="0" w:afterAutospacing="0" w:line="500" w:lineRule="exact"/>
        <w:ind w:firstLine="560" w:firstLineChars="200"/>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r>
        <w:rPr>
          <w:rFonts w:hint="eastAsia"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4.</w:t>
      </w: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年度综合考核：</w:t>
      </w:r>
      <w:r>
        <w:rPr>
          <w:rFonts w:hint="eastAsia"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合同</w:t>
      </w: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到期前30个工作日完成，汇总当年4个季度考核得分取算术平均值，形成年度综合评价结论，用于判定是否续签采购协议。</w:t>
      </w:r>
    </w:p>
    <w:p w14:paraId="4EB308D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00" w:lineRule="exact"/>
        <w:ind w:firstLine="560" w:firstLineChars="200"/>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r>
        <w:rPr>
          <w:rFonts w:hint="eastAsia"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5.</w:t>
      </w: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考核方式：现场核查、订单台账核对、收货验收记录核对、问题投诉记录、沟通台账综合打分。</w:t>
      </w:r>
    </w:p>
    <w:p w14:paraId="3B94F97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00" w:lineRule="exact"/>
        <w:ind w:firstLine="560" w:firstLineChars="200"/>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r>
        <w:rPr>
          <w:rFonts w:hint="eastAsia"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6.</w:t>
      </w: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评分等级（单季度满分100分）：80分（含）以上为合格；60</w:t>
      </w: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noBreakHyphen/>
      </w: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79分为基本合格；60分以下为不合格。</w:t>
      </w:r>
    </w:p>
    <w:p w14:paraId="13BF868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00" w:lineRule="exact"/>
        <w:ind w:firstLine="560" w:firstLineChars="200"/>
        <w:jc w:val="left"/>
        <w:textAlignment w:val="auto"/>
        <w:rPr>
          <w:rFonts w:hint="eastAsia"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r>
        <w:rPr>
          <w:rFonts w:hint="eastAsia"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7.年度综合得分=四个季度考核得分之和÷4，等级判定标准同季度。</w:t>
      </w:r>
    </w:p>
    <w:p w14:paraId="6497771F">
      <w:pPr>
        <w:pStyle w:val="2"/>
        <w:rPr>
          <w:rFonts w:hint="eastAsia"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p>
    <w:p w14:paraId="69AD3C3B">
      <w:pPr>
        <w:rPr>
          <w:rFonts w:hint="eastAsia"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p>
    <w:p w14:paraId="6A0D91CE">
      <w:pPr>
        <w:pStyle w:val="2"/>
        <w:rPr>
          <w:rFonts w:hint="default"/>
          <w:lang w:val="en-US" w:eastAsia="zh-CN"/>
        </w:rPr>
      </w:pPr>
    </w:p>
    <w:p w14:paraId="666D362D">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三、考核评分细则（单季度总分100分）</w:t>
      </w:r>
    </w:p>
    <w:tbl>
      <w:tblPr>
        <w:tblStyle w:val="7"/>
        <w:tblW w:w="0" w:type="auto"/>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1262"/>
        <w:gridCol w:w="414"/>
        <w:gridCol w:w="6740"/>
      </w:tblGrid>
      <w:tr w14:paraId="39F73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tblCellSpacing w:w="15" w:type="dxa"/>
        </w:trPr>
        <w:tc>
          <w:tcPr>
            <w:tcW w:w="0" w:type="auto"/>
            <w:shd w:val="clear" w:color="auto" w:fill="auto"/>
            <w:vAlign w:val="center"/>
          </w:tcPr>
          <w:p w14:paraId="07D6C357">
            <w:pPr>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考核项目</w:t>
            </w:r>
          </w:p>
        </w:tc>
        <w:tc>
          <w:tcPr>
            <w:tcW w:w="0" w:type="auto"/>
            <w:shd w:val="clear" w:color="auto" w:fill="auto"/>
            <w:vAlign w:val="center"/>
          </w:tcPr>
          <w:p w14:paraId="76914FC1">
            <w:pPr>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分值</w:t>
            </w:r>
          </w:p>
        </w:tc>
        <w:tc>
          <w:tcPr>
            <w:tcW w:w="0" w:type="auto"/>
            <w:shd w:val="clear" w:color="auto" w:fill="auto"/>
            <w:vAlign w:val="center"/>
          </w:tcPr>
          <w:p w14:paraId="0568D7A5">
            <w:pPr>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考核内容及扣分标准</w:t>
            </w:r>
          </w:p>
        </w:tc>
      </w:tr>
      <w:tr w14:paraId="15ED8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3DB3E016">
            <w:pPr>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货物质量（40分）</w:t>
            </w:r>
          </w:p>
        </w:tc>
        <w:tc>
          <w:tcPr>
            <w:tcW w:w="0" w:type="auto"/>
            <w:shd w:val="clear" w:color="auto" w:fill="auto"/>
            <w:vAlign w:val="center"/>
          </w:tcPr>
          <w:p w14:paraId="5E5ED715">
            <w:pPr>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40</w:t>
            </w:r>
          </w:p>
        </w:tc>
        <w:tc>
          <w:tcPr>
            <w:tcW w:w="0" w:type="auto"/>
            <w:shd w:val="clear" w:color="auto" w:fill="auto"/>
            <w:vAlign w:val="center"/>
          </w:tcPr>
          <w:p w14:paraId="350EC8C3">
            <w:pPr>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1.交付货物出现过期、变质、破损、假冒伪劣，单次扣10分；造成损失的另行追责。2.保质期不满足“剩余保质期不少于原保质期三分之二”，每批次扣5分。3.货物规格、品牌、型号与订单要求不符，每单扣3分。4.抽检出现质量不达标，一次扣8分；同一问题重复发生加倍扣分。本项扣完40分为止。</w:t>
            </w:r>
          </w:p>
        </w:tc>
      </w:tr>
      <w:tr w14:paraId="46796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681C01E8">
            <w:pPr>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配送履约（30分）</w:t>
            </w:r>
          </w:p>
        </w:tc>
        <w:tc>
          <w:tcPr>
            <w:tcW w:w="0" w:type="auto"/>
            <w:shd w:val="clear" w:color="auto" w:fill="auto"/>
            <w:vAlign w:val="center"/>
          </w:tcPr>
          <w:p w14:paraId="2EAA4EDB">
            <w:pPr>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30</w:t>
            </w:r>
          </w:p>
        </w:tc>
        <w:tc>
          <w:tcPr>
            <w:tcW w:w="0" w:type="auto"/>
            <w:shd w:val="clear" w:color="auto" w:fill="auto"/>
            <w:vAlign w:val="center"/>
          </w:tcPr>
          <w:p w14:paraId="7791855B">
            <w:pPr>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1.未按采购订单约定时间配送，无合理说明，每延误一次扣4分。2.漏送、少送订单货品，每单扣3分。3.配送不配合卸货、搬运，现场服务态度差每次扣2分。4.因供应商原因多次延误供货影响超市正常经营，单次扣10分。本项扣完30分为止。</w:t>
            </w:r>
          </w:p>
        </w:tc>
      </w:tr>
      <w:tr w14:paraId="6CCBB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78772A68">
            <w:pPr>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报价与价格执行（10分）</w:t>
            </w:r>
          </w:p>
        </w:tc>
        <w:tc>
          <w:tcPr>
            <w:tcW w:w="0" w:type="auto"/>
            <w:shd w:val="clear" w:color="auto" w:fill="auto"/>
            <w:vAlign w:val="center"/>
          </w:tcPr>
          <w:p w14:paraId="23D2AECD">
            <w:pPr>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10</w:t>
            </w:r>
          </w:p>
        </w:tc>
        <w:tc>
          <w:tcPr>
            <w:tcW w:w="0" w:type="auto"/>
            <w:shd w:val="clear" w:color="auto" w:fill="auto"/>
            <w:vAlign w:val="center"/>
          </w:tcPr>
          <w:p w14:paraId="04897255">
            <w:pPr>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1.已确定供货单价高于征集控制价或合同约定下浮后价格，发现一次扣5分，并要求立即纠正。2.新品供货不配合开展市场调研、不执行约定下浮比例，一次扣5分。</w:t>
            </w:r>
          </w:p>
        </w:tc>
      </w:tr>
      <w:tr w14:paraId="73B91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33B426C7">
            <w:pPr>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售后服务及问题处置（15分）</w:t>
            </w:r>
          </w:p>
        </w:tc>
        <w:tc>
          <w:tcPr>
            <w:tcW w:w="0" w:type="auto"/>
            <w:shd w:val="clear" w:color="auto" w:fill="auto"/>
            <w:vAlign w:val="center"/>
          </w:tcPr>
          <w:p w14:paraId="31384B77">
            <w:pPr>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15</w:t>
            </w:r>
          </w:p>
        </w:tc>
        <w:tc>
          <w:tcPr>
            <w:tcW w:w="0" w:type="auto"/>
            <w:shd w:val="clear" w:color="auto" w:fill="auto"/>
            <w:vAlign w:val="center"/>
          </w:tcPr>
          <w:p w14:paraId="42D87537">
            <w:pPr>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1.收到质量、错货、缺货异议，未在约定时限响应处理，每次扣4分。2.应当退换货而推诿拒绝，每次扣5分。3.沟通配合度差，不及时回复采购人工作对接，每次扣2分。</w:t>
            </w:r>
          </w:p>
        </w:tc>
      </w:tr>
      <w:tr w14:paraId="24AEF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2947BE34">
            <w:pPr>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合规及其他（5分）</w:t>
            </w:r>
          </w:p>
        </w:tc>
        <w:tc>
          <w:tcPr>
            <w:tcW w:w="0" w:type="auto"/>
            <w:shd w:val="clear" w:color="auto" w:fill="auto"/>
            <w:vAlign w:val="center"/>
          </w:tcPr>
          <w:p w14:paraId="030D3ECE">
            <w:pPr>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5</w:t>
            </w:r>
          </w:p>
        </w:tc>
        <w:tc>
          <w:tcPr>
            <w:tcW w:w="0" w:type="auto"/>
            <w:shd w:val="clear" w:color="auto" w:fill="auto"/>
            <w:vAlign w:val="center"/>
          </w:tcPr>
          <w:p w14:paraId="0A9754C1">
            <w:pPr>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1.提供资质过期、资料报送不及时扣2分。2.出现食品安全监管部门预警、投诉、处罚直接本项得0分。</w:t>
            </w:r>
          </w:p>
        </w:tc>
      </w:tr>
    </w:tbl>
    <w:p w14:paraId="6ACD8C76">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p>
    <w:p w14:paraId="6877347A">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四、考核结果应用</w:t>
      </w:r>
    </w:p>
    <w:p w14:paraId="0DF9890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00" w:lineRule="exact"/>
        <w:ind w:firstLine="560" w:firstLineChars="200"/>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r>
        <w:rPr>
          <w:rFonts w:hint="eastAsia"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1.</w:t>
      </w: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年度综合考核≥80分（合格）：满足合同续签条件，可按约定程序续签下一年采购协议，最多续签两次。</w:t>
      </w:r>
    </w:p>
    <w:p w14:paraId="2E4841C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00" w:lineRule="exact"/>
        <w:ind w:firstLine="560" w:firstLineChars="200"/>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r>
        <w:rPr>
          <w:rFonts w:hint="eastAsia"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2.</w:t>
      </w: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年度综合考核60</w:t>
      </w: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noBreakHyphen/>
      </w: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79分（基本合格）：不予续签；本次协议到期终止。</w:t>
      </w:r>
    </w:p>
    <w:p w14:paraId="6AC1FCA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00" w:lineRule="exact"/>
        <w:ind w:firstLine="560" w:firstLineChars="200"/>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r>
        <w:rPr>
          <w:rFonts w:hint="eastAsia"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3.</w:t>
      </w: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年度综合考核＜60分（不合格）：协议到期不再合作；若合作期内出现重大质量安全事件、多次严重违约，采购人有权依据合同提前解除协议，并将该供应商纳入不良合作单位名单，不再参与本项目后续征集。</w:t>
      </w:r>
    </w:p>
    <w:p w14:paraId="6DC3068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00" w:lineRule="exact"/>
        <w:ind w:firstLine="560" w:firstLineChars="200"/>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r>
        <w:rPr>
          <w:rFonts w:hint="eastAsia"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4.</w:t>
      </w: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季度结果管控：</w:t>
      </w:r>
    </w:p>
    <w:p w14:paraId="128C275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00" w:lineRule="exact"/>
        <w:ind w:firstLine="560" w:firstLineChars="200"/>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r>
        <w:rPr>
          <w:rFonts w:hint="eastAsia"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4.1</w:t>
      </w: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单个季度考核低于70分，采购人向供应商发送履约整改通知书，限期完成整改；</w:t>
      </w:r>
    </w:p>
    <w:p w14:paraId="3A70951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00" w:lineRule="exact"/>
        <w:ind w:firstLine="560" w:firstLineChars="200"/>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r>
        <w:rPr>
          <w:rFonts w:hint="eastAsia"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4.2</w:t>
      </w: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连续2个季度考核低于70分，采购人有权启动合同违约处置条款，视情节可缩减供货品类、暂停订单直至解除采购协议。</w:t>
      </w:r>
    </w:p>
    <w:p w14:paraId="59E0E498">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五、考核流程</w:t>
      </w:r>
    </w:p>
    <w:p w14:paraId="499BAFD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00" w:lineRule="exact"/>
        <w:ind w:firstLine="560" w:firstLineChars="200"/>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r>
        <w:rPr>
          <w:rFonts w:hint="eastAsia"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4.3</w:t>
      </w: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每季度末5个工作日内，由超市运营管理人员整理本季度订单验收记录、质量问题、配送异常、投诉台账，形成季度考核表，反馈供应商确认；供应商如有异议，可在收到考核结果3个工作日内提交书面申辩材料。</w:t>
      </w:r>
    </w:p>
    <w:p w14:paraId="68DEC44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00" w:lineRule="exact"/>
        <w:ind w:firstLine="560" w:firstLineChars="200"/>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r>
        <w:rPr>
          <w:rFonts w:hint="eastAsia"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4.4</w:t>
      </w: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协议到期前，汇总全年度全部季度考核记录，计算得出年度综合得分，形成《供应商年度履约考核评价表》，由</w:t>
      </w:r>
      <w:r>
        <w:rPr>
          <w:rFonts w:hint="eastAsia"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采购人</w:t>
      </w: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内部审核留存。</w:t>
      </w:r>
    </w:p>
    <w:p w14:paraId="2146D06E">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r>
        <w:rPr>
          <w:rFonts w:hint="eastAsia"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五</w:t>
      </w: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、附则</w:t>
      </w:r>
    </w:p>
    <w:p w14:paraId="239B1FB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00" w:lineRule="exact"/>
        <w:ind w:firstLine="560" w:firstLineChars="200"/>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r>
        <w:rPr>
          <w:rFonts w:hint="eastAsia"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1.</w:t>
      </w: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本考核评价作为《七贤新居超市货物采购</w:t>
      </w:r>
      <w:r>
        <w:rPr>
          <w:rFonts w:hint="eastAsia"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合同</w:t>
      </w: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》配套履约管理文件，作为合同执行的参考依据。</w:t>
      </w:r>
    </w:p>
    <w:p w14:paraId="75D2257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00" w:lineRule="exact"/>
        <w:ind w:firstLine="560" w:firstLineChars="200"/>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r>
        <w:rPr>
          <w:rFonts w:hint="eastAsia"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2.</w:t>
      </w: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因采购人原因、不可抗力造成的履约异常，经双方书面确认可不予扣分。</w:t>
      </w:r>
    </w:p>
    <w:p w14:paraId="06945542">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附件1：七贤新居超市供应商季度履约考核评价表</w:t>
      </w:r>
    </w:p>
    <w:p w14:paraId="50040592">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供应商名称：________________</w:t>
      </w:r>
    </w:p>
    <w:p w14:paraId="4BC0ECB4">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供货大类：</w:t>
      </w:r>
    </w:p>
    <w:p w14:paraId="41B48B2E">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□全部7大类□槟榔烟辅□家居用品□冷冻冷藏□粮油副食□日化个护</w:t>
      </w:r>
    </w:p>
    <w:p w14:paraId="5113526C">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□休闲食品□饮料酒水</w:t>
      </w:r>
    </w:p>
    <w:p w14:paraId="10BFEB59">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考核季度：____年第___季度</w:t>
      </w:r>
    </w:p>
    <w:tbl>
      <w:tblPr>
        <w:tblStyle w:val="7"/>
        <w:tblW w:w="0" w:type="auto"/>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3243"/>
        <w:gridCol w:w="616"/>
        <w:gridCol w:w="4557"/>
      </w:tblGrid>
      <w:tr w14:paraId="0CD5B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tblCellSpacing w:w="15" w:type="dxa"/>
        </w:trPr>
        <w:tc>
          <w:tcPr>
            <w:tcW w:w="0" w:type="auto"/>
            <w:shd w:val="clear" w:color="auto" w:fill="auto"/>
            <w:vAlign w:val="center"/>
          </w:tcPr>
          <w:p w14:paraId="033FE4E3">
            <w:pPr>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考核项目</w:t>
            </w:r>
          </w:p>
        </w:tc>
        <w:tc>
          <w:tcPr>
            <w:tcW w:w="0" w:type="auto"/>
            <w:shd w:val="clear" w:color="auto" w:fill="auto"/>
            <w:vAlign w:val="center"/>
          </w:tcPr>
          <w:p w14:paraId="43DDF253">
            <w:pPr>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得分</w:t>
            </w:r>
          </w:p>
        </w:tc>
        <w:tc>
          <w:tcPr>
            <w:tcW w:w="0" w:type="auto"/>
            <w:shd w:val="clear" w:color="auto" w:fill="auto"/>
            <w:vAlign w:val="center"/>
          </w:tcPr>
          <w:p w14:paraId="02E44FBD">
            <w:pPr>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主要问题记录</w:t>
            </w:r>
          </w:p>
        </w:tc>
      </w:tr>
      <w:tr w14:paraId="56A72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656B4378">
            <w:pPr>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货物质量（40）</w:t>
            </w:r>
          </w:p>
        </w:tc>
        <w:tc>
          <w:tcPr>
            <w:tcW w:w="0" w:type="auto"/>
            <w:shd w:val="clear" w:color="auto" w:fill="auto"/>
            <w:vAlign w:val="center"/>
          </w:tcPr>
          <w:p w14:paraId="74DB8C68">
            <w:pPr>
              <w:keepNext w:val="0"/>
              <w:keepLines w:val="0"/>
              <w:pageBreakBefore w:val="0"/>
              <w:kinsoku/>
              <w:wordWrap/>
              <w:overflowPunct/>
              <w:topLinePunct w:val="0"/>
              <w:autoSpaceDE/>
              <w:autoSpaceDN/>
              <w:bidi w:val="0"/>
              <w:adjustRightInd/>
              <w:snapToGrid/>
              <w:spacing w:beforeAutospacing="0" w:afterAutospacing="0" w:line="500" w:lineRule="exact"/>
              <w:jc w:val="left"/>
              <w:textAlignment w:val="auto"/>
              <w:rPr>
                <w:rFonts w:hint="eastAsia"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p>
        </w:tc>
        <w:tc>
          <w:tcPr>
            <w:tcW w:w="0" w:type="auto"/>
            <w:shd w:val="clear" w:color="auto" w:fill="auto"/>
            <w:vAlign w:val="center"/>
          </w:tcPr>
          <w:p w14:paraId="53F50B47">
            <w:pPr>
              <w:keepNext w:val="0"/>
              <w:keepLines w:val="0"/>
              <w:pageBreakBefore w:val="0"/>
              <w:kinsoku/>
              <w:wordWrap/>
              <w:overflowPunct/>
              <w:topLinePunct w:val="0"/>
              <w:autoSpaceDE/>
              <w:autoSpaceDN/>
              <w:bidi w:val="0"/>
              <w:adjustRightInd/>
              <w:snapToGrid/>
              <w:spacing w:beforeAutospacing="0" w:afterAutospacing="0" w:line="500" w:lineRule="exact"/>
              <w:jc w:val="left"/>
              <w:textAlignment w:val="auto"/>
              <w:rPr>
                <w:rFonts w:hint="eastAsia"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p>
        </w:tc>
      </w:tr>
      <w:tr w14:paraId="1E1B1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60823950">
            <w:pPr>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配送履约（30）</w:t>
            </w:r>
          </w:p>
        </w:tc>
        <w:tc>
          <w:tcPr>
            <w:tcW w:w="0" w:type="auto"/>
            <w:shd w:val="clear" w:color="auto" w:fill="auto"/>
            <w:vAlign w:val="center"/>
          </w:tcPr>
          <w:p w14:paraId="08942ADF">
            <w:pPr>
              <w:keepNext w:val="0"/>
              <w:keepLines w:val="0"/>
              <w:pageBreakBefore w:val="0"/>
              <w:kinsoku/>
              <w:wordWrap/>
              <w:overflowPunct/>
              <w:topLinePunct w:val="0"/>
              <w:autoSpaceDE/>
              <w:autoSpaceDN/>
              <w:bidi w:val="0"/>
              <w:adjustRightInd/>
              <w:snapToGrid/>
              <w:spacing w:beforeAutospacing="0" w:afterAutospacing="0" w:line="500" w:lineRule="exact"/>
              <w:jc w:val="left"/>
              <w:textAlignment w:val="auto"/>
              <w:rPr>
                <w:rFonts w:hint="eastAsia"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p>
        </w:tc>
        <w:tc>
          <w:tcPr>
            <w:tcW w:w="0" w:type="auto"/>
            <w:shd w:val="clear" w:color="auto" w:fill="auto"/>
            <w:vAlign w:val="center"/>
          </w:tcPr>
          <w:p w14:paraId="27E735F3">
            <w:pPr>
              <w:keepNext w:val="0"/>
              <w:keepLines w:val="0"/>
              <w:pageBreakBefore w:val="0"/>
              <w:kinsoku/>
              <w:wordWrap/>
              <w:overflowPunct/>
              <w:topLinePunct w:val="0"/>
              <w:autoSpaceDE/>
              <w:autoSpaceDN/>
              <w:bidi w:val="0"/>
              <w:adjustRightInd/>
              <w:snapToGrid/>
              <w:spacing w:beforeAutospacing="0" w:afterAutospacing="0" w:line="500" w:lineRule="exact"/>
              <w:jc w:val="left"/>
              <w:textAlignment w:val="auto"/>
              <w:rPr>
                <w:rFonts w:hint="eastAsia"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p>
        </w:tc>
      </w:tr>
      <w:tr w14:paraId="68ECF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76EC10DD">
            <w:pPr>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报价与价格执行（10）</w:t>
            </w:r>
          </w:p>
        </w:tc>
        <w:tc>
          <w:tcPr>
            <w:tcW w:w="0" w:type="auto"/>
            <w:shd w:val="clear" w:color="auto" w:fill="auto"/>
            <w:vAlign w:val="center"/>
          </w:tcPr>
          <w:p w14:paraId="7505360D">
            <w:pPr>
              <w:keepNext w:val="0"/>
              <w:keepLines w:val="0"/>
              <w:pageBreakBefore w:val="0"/>
              <w:kinsoku/>
              <w:wordWrap/>
              <w:overflowPunct/>
              <w:topLinePunct w:val="0"/>
              <w:autoSpaceDE/>
              <w:autoSpaceDN/>
              <w:bidi w:val="0"/>
              <w:adjustRightInd/>
              <w:snapToGrid/>
              <w:spacing w:beforeAutospacing="0" w:afterAutospacing="0" w:line="500" w:lineRule="exact"/>
              <w:jc w:val="left"/>
              <w:textAlignment w:val="auto"/>
              <w:rPr>
                <w:rFonts w:hint="eastAsia"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p>
        </w:tc>
        <w:tc>
          <w:tcPr>
            <w:tcW w:w="0" w:type="auto"/>
            <w:shd w:val="clear" w:color="auto" w:fill="auto"/>
            <w:vAlign w:val="center"/>
          </w:tcPr>
          <w:p w14:paraId="5FE14AA7">
            <w:pPr>
              <w:keepNext w:val="0"/>
              <w:keepLines w:val="0"/>
              <w:pageBreakBefore w:val="0"/>
              <w:kinsoku/>
              <w:wordWrap/>
              <w:overflowPunct/>
              <w:topLinePunct w:val="0"/>
              <w:autoSpaceDE/>
              <w:autoSpaceDN/>
              <w:bidi w:val="0"/>
              <w:adjustRightInd/>
              <w:snapToGrid/>
              <w:spacing w:beforeAutospacing="0" w:afterAutospacing="0" w:line="500" w:lineRule="exact"/>
              <w:jc w:val="left"/>
              <w:textAlignment w:val="auto"/>
              <w:rPr>
                <w:rFonts w:hint="eastAsia"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p>
        </w:tc>
      </w:tr>
      <w:tr w14:paraId="57C9A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7D36C743">
            <w:pPr>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售后服务及问题处置（15）</w:t>
            </w:r>
          </w:p>
        </w:tc>
        <w:tc>
          <w:tcPr>
            <w:tcW w:w="0" w:type="auto"/>
            <w:shd w:val="clear" w:color="auto" w:fill="auto"/>
            <w:vAlign w:val="center"/>
          </w:tcPr>
          <w:p w14:paraId="78164326">
            <w:pPr>
              <w:keepNext w:val="0"/>
              <w:keepLines w:val="0"/>
              <w:pageBreakBefore w:val="0"/>
              <w:kinsoku/>
              <w:wordWrap/>
              <w:overflowPunct/>
              <w:topLinePunct w:val="0"/>
              <w:autoSpaceDE/>
              <w:autoSpaceDN/>
              <w:bidi w:val="0"/>
              <w:adjustRightInd/>
              <w:snapToGrid/>
              <w:spacing w:beforeAutospacing="0" w:afterAutospacing="0" w:line="500" w:lineRule="exact"/>
              <w:jc w:val="left"/>
              <w:textAlignment w:val="auto"/>
              <w:rPr>
                <w:rFonts w:hint="eastAsia"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p>
        </w:tc>
        <w:tc>
          <w:tcPr>
            <w:tcW w:w="0" w:type="auto"/>
            <w:shd w:val="clear" w:color="auto" w:fill="auto"/>
            <w:vAlign w:val="center"/>
          </w:tcPr>
          <w:p w14:paraId="2DD871C3">
            <w:pPr>
              <w:keepNext w:val="0"/>
              <w:keepLines w:val="0"/>
              <w:pageBreakBefore w:val="0"/>
              <w:kinsoku/>
              <w:wordWrap/>
              <w:overflowPunct/>
              <w:topLinePunct w:val="0"/>
              <w:autoSpaceDE/>
              <w:autoSpaceDN/>
              <w:bidi w:val="0"/>
              <w:adjustRightInd/>
              <w:snapToGrid/>
              <w:spacing w:beforeAutospacing="0" w:afterAutospacing="0" w:line="500" w:lineRule="exact"/>
              <w:jc w:val="left"/>
              <w:textAlignment w:val="auto"/>
              <w:rPr>
                <w:rFonts w:hint="eastAsia"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p>
        </w:tc>
      </w:tr>
      <w:tr w14:paraId="13732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1BB890D7">
            <w:pPr>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合规及其他（5）</w:t>
            </w:r>
          </w:p>
        </w:tc>
        <w:tc>
          <w:tcPr>
            <w:tcW w:w="0" w:type="auto"/>
            <w:shd w:val="clear" w:color="auto" w:fill="auto"/>
            <w:vAlign w:val="center"/>
          </w:tcPr>
          <w:p w14:paraId="33CC2D9A">
            <w:pPr>
              <w:keepNext w:val="0"/>
              <w:keepLines w:val="0"/>
              <w:pageBreakBefore w:val="0"/>
              <w:kinsoku/>
              <w:wordWrap/>
              <w:overflowPunct/>
              <w:topLinePunct w:val="0"/>
              <w:autoSpaceDE/>
              <w:autoSpaceDN/>
              <w:bidi w:val="0"/>
              <w:adjustRightInd/>
              <w:snapToGrid/>
              <w:spacing w:beforeAutospacing="0" w:afterAutospacing="0" w:line="500" w:lineRule="exact"/>
              <w:jc w:val="left"/>
              <w:textAlignment w:val="auto"/>
              <w:rPr>
                <w:rFonts w:hint="eastAsia"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p>
        </w:tc>
        <w:tc>
          <w:tcPr>
            <w:tcW w:w="0" w:type="auto"/>
            <w:shd w:val="clear" w:color="auto" w:fill="auto"/>
            <w:vAlign w:val="center"/>
          </w:tcPr>
          <w:p w14:paraId="0A8CE6E1">
            <w:pPr>
              <w:keepNext w:val="0"/>
              <w:keepLines w:val="0"/>
              <w:pageBreakBefore w:val="0"/>
              <w:kinsoku/>
              <w:wordWrap/>
              <w:overflowPunct/>
              <w:topLinePunct w:val="0"/>
              <w:autoSpaceDE/>
              <w:autoSpaceDN/>
              <w:bidi w:val="0"/>
              <w:adjustRightInd/>
              <w:snapToGrid/>
              <w:spacing w:beforeAutospacing="0" w:afterAutospacing="0" w:line="500" w:lineRule="exact"/>
              <w:jc w:val="left"/>
              <w:textAlignment w:val="auto"/>
              <w:rPr>
                <w:rFonts w:hint="eastAsia"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p>
        </w:tc>
      </w:tr>
      <w:tr w14:paraId="13CF2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57A7167F">
            <w:pPr>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季度综合得分</w:t>
            </w:r>
          </w:p>
        </w:tc>
        <w:tc>
          <w:tcPr>
            <w:tcW w:w="0" w:type="auto"/>
            <w:shd w:val="clear" w:color="auto" w:fill="auto"/>
            <w:vAlign w:val="center"/>
          </w:tcPr>
          <w:p w14:paraId="5D0E627D">
            <w:pPr>
              <w:keepNext w:val="0"/>
              <w:keepLines w:val="0"/>
              <w:pageBreakBefore w:val="0"/>
              <w:kinsoku/>
              <w:wordWrap/>
              <w:overflowPunct/>
              <w:topLinePunct w:val="0"/>
              <w:autoSpaceDE/>
              <w:autoSpaceDN/>
              <w:bidi w:val="0"/>
              <w:adjustRightInd/>
              <w:snapToGrid/>
              <w:spacing w:beforeAutospacing="0" w:afterAutospacing="0" w:line="500" w:lineRule="exact"/>
              <w:jc w:val="left"/>
              <w:textAlignment w:val="auto"/>
              <w:rPr>
                <w:rFonts w:hint="eastAsia"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p>
        </w:tc>
        <w:tc>
          <w:tcPr>
            <w:tcW w:w="0" w:type="auto"/>
            <w:shd w:val="clear" w:color="auto" w:fill="auto"/>
            <w:vAlign w:val="center"/>
          </w:tcPr>
          <w:p w14:paraId="0EE4D690">
            <w:pPr>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□合格≥80□基本合格60</w:t>
            </w: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noBreakHyphen/>
            </w: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79□不合格＜60</w:t>
            </w:r>
          </w:p>
        </w:tc>
      </w:tr>
    </w:tbl>
    <w:p w14:paraId="78F2D6DF">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p>
    <w:p w14:paraId="6E3ACEA2">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考核人：__________ 复核人：__________ 日期：__________</w:t>
      </w:r>
    </w:p>
    <w:p w14:paraId="43E04991">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p>
    <w:p w14:paraId="4F15D0BC">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供应商意见：□无异议 □有异议（附书面申辩） </w:t>
      </w:r>
    </w:p>
    <w:p w14:paraId="7E50E9F3">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p>
    <w:p w14:paraId="29A0F5F4">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签字/盖章：____________</w:t>
      </w:r>
    </w:p>
    <w:p w14:paraId="55FAD3BE">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p>
    <w:p w14:paraId="526152F3">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p>
    <w:p w14:paraId="4731EA77">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p>
    <w:p w14:paraId="1C240A57">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p>
    <w:p w14:paraId="55A4EDAF">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p>
    <w:p w14:paraId="3BFACF68">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p>
    <w:p w14:paraId="4A75690A">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附件2：年度综合考核汇总表</w:t>
      </w:r>
    </w:p>
    <w:p w14:paraId="5F1399E1">
      <w:pPr>
        <w:rPr>
          <w:rFonts w:hint="default"/>
          <w:lang w:val="en-US" w:eastAsia="zh-CN"/>
        </w:rPr>
      </w:pPr>
    </w:p>
    <w:p w14:paraId="372E73A3">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供应商名称：________________</w:t>
      </w:r>
    </w:p>
    <w:p w14:paraId="1ECCC93A">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p>
    <w:tbl>
      <w:tblPr>
        <w:tblStyle w:val="7"/>
        <w:tblW w:w="0" w:type="auto"/>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2055"/>
        <w:gridCol w:w="1200"/>
        <w:gridCol w:w="4887"/>
      </w:tblGrid>
      <w:tr w14:paraId="61688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Header/>
          <w:tblCellSpacing w:w="15" w:type="dxa"/>
        </w:trPr>
        <w:tc>
          <w:tcPr>
            <w:tcW w:w="0" w:type="auto"/>
            <w:shd w:val="clear" w:color="auto" w:fill="auto"/>
            <w:vAlign w:val="center"/>
          </w:tcPr>
          <w:p w14:paraId="10C5142A">
            <w:pPr>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考核季度</w:t>
            </w:r>
          </w:p>
        </w:tc>
        <w:tc>
          <w:tcPr>
            <w:tcW w:w="0" w:type="auto"/>
            <w:shd w:val="clear" w:color="auto" w:fill="auto"/>
            <w:vAlign w:val="center"/>
          </w:tcPr>
          <w:p w14:paraId="2F74C841">
            <w:pPr>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季度得分</w:t>
            </w:r>
          </w:p>
        </w:tc>
        <w:tc>
          <w:tcPr>
            <w:tcW w:w="0" w:type="auto"/>
            <w:shd w:val="clear" w:color="auto" w:fill="auto"/>
            <w:vAlign w:val="center"/>
          </w:tcPr>
          <w:p w14:paraId="5AB020AF">
            <w:pPr>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备注</w:t>
            </w:r>
          </w:p>
        </w:tc>
      </w:tr>
      <w:tr w14:paraId="733E4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0443247C">
            <w:pPr>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第1季度</w:t>
            </w:r>
          </w:p>
        </w:tc>
        <w:tc>
          <w:tcPr>
            <w:tcW w:w="0" w:type="auto"/>
            <w:shd w:val="clear" w:color="auto" w:fill="auto"/>
            <w:vAlign w:val="center"/>
          </w:tcPr>
          <w:p w14:paraId="579EC9EA">
            <w:pPr>
              <w:keepNext w:val="0"/>
              <w:keepLines w:val="0"/>
              <w:pageBreakBefore w:val="0"/>
              <w:kinsoku/>
              <w:wordWrap/>
              <w:overflowPunct/>
              <w:topLinePunct w:val="0"/>
              <w:autoSpaceDE/>
              <w:autoSpaceDN/>
              <w:bidi w:val="0"/>
              <w:adjustRightInd/>
              <w:snapToGrid/>
              <w:spacing w:beforeAutospacing="0" w:afterAutospacing="0" w:line="500" w:lineRule="exact"/>
              <w:jc w:val="left"/>
              <w:textAlignment w:val="auto"/>
              <w:rPr>
                <w:rFonts w:hint="eastAsia"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p>
        </w:tc>
        <w:tc>
          <w:tcPr>
            <w:tcW w:w="0" w:type="auto"/>
            <w:shd w:val="clear" w:color="auto" w:fill="auto"/>
            <w:vAlign w:val="center"/>
          </w:tcPr>
          <w:p w14:paraId="775FD265">
            <w:pPr>
              <w:keepNext w:val="0"/>
              <w:keepLines w:val="0"/>
              <w:pageBreakBefore w:val="0"/>
              <w:kinsoku/>
              <w:wordWrap/>
              <w:overflowPunct/>
              <w:topLinePunct w:val="0"/>
              <w:autoSpaceDE/>
              <w:autoSpaceDN/>
              <w:bidi w:val="0"/>
              <w:adjustRightInd/>
              <w:snapToGrid/>
              <w:spacing w:beforeAutospacing="0" w:afterAutospacing="0" w:line="500" w:lineRule="exact"/>
              <w:jc w:val="left"/>
              <w:textAlignment w:val="auto"/>
              <w:rPr>
                <w:rFonts w:hint="eastAsia"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p>
        </w:tc>
      </w:tr>
      <w:tr w14:paraId="2A138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2F6F4176">
            <w:pPr>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第2季度</w:t>
            </w:r>
          </w:p>
        </w:tc>
        <w:tc>
          <w:tcPr>
            <w:tcW w:w="0" w:type="auto"/>
            <w:shd w:val="clear" w:color="auto" w:fill="auto"/>
            <w:vAlign w:val="center"/>
          </w:tcPr>
          <w:p w14:paraId="0EC91E69">
            <w:pPr>
              <w:keepNext w:val="0"/>
              <w:keepLines w:val="0"/>
              <w:pageBreakBefore w:val="0"/>
              <w:kinsoku/>
              <w:wordWrap/>
              <w:overflowPunct/>
              <w:topLinePunct w:val="0"/>
              <w:autoSpaceDE/>
              <w:autoSpaceDN/>
              <w:bidi w:val="0"/>
              <w:adjustRightInd/>
              <w:snapToGrid/>
              <w:spacing w:beforeAutospacing="0" w:afterAutospacing="0" w:line="500" w:lineRule="exact"/>
              <w:jc w:val="left"/>
              <w:textAlignment w:val="auto"/>
              <w:rPr>
                <w:rFonts w:hint="eastAsia"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p>
        </w:tc>
        <w:tc>
          <w:tcPr>
            <w:tcW w:w="0" w:type="auto"/>
            <w:shd w:val="clear" w:color="auto" w:fill="auto"/>
            <w:vAlign w:val="center"/>
          </w:tcPr>
          <w:p w14:paraId="48676D8A">
            <w:pPr>
              <w:keepNext w:val="0"/>
              <w:keepLines w:val="0"/>
              <w:pageBreakBefore w:val="0"/>
              <w:kinsoku/>
              <w:wordWrap/>
              <w:overflowPunct/>
              <w:topLinePunct w:val="0"/>
              <w:autoSpaceDE/>
              <w:autoSpaceDN/>
              <w:bidi w:val="0"/>
              <w:adjustRightInd/>
              <w:snapToGrid/>
              <w:spacing w:beforeAutospacing="0" w:afterAutospacing="0" w:line="500" w:lineRule="exact"/>
              <w:jc w:val="left"/>
              <w:textAlignment w:val="auto"/>
              <w:rPr>
                <w:rFonts w:hint="eastAsia"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p>
        </w:tc>
      </w:tr>
      <w:tr w14:paraId="6E8CF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6118187F">
            <w:pPr>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第3季度</w:t>
            </w:r>
          </w:p>
        </w:tc>
        <w:tc>
          <w:tcPr>
            <w:tcW w:w="0" w:type="auto"/>
            <w:shd w:val="clear" w:color="auto" w:fill="auto"/>
            <w:vAlign w:val="center"/>
          </w:tcPr>
          <w:p w14:paraId="0087304C">
            <w:pPr>
              <w:keepNext w:val="0"/>
              <w:keepLines w:val="0"/>
              <w:pageBreakBefore w:val="0"/>
              <w:kinsoku/>
              <w:wordWrap/>
              <w:overflowPunct/>
              <w:topLinePunct w:val="0"/>
              <w:autoSpaceDE/>
              <w:autoSpaceDN/>
              <w:bidi w:val="0"/>
              <w:adjustRightInd/>
              <w:snapToGrid/>
              <w:spacing w:beforeAutospacing="0" w:afterAutospacing="0" w:line="500" w:lineRule="exact"/>
              <w:jc w:val="left"/>
              <w:textAlignment w:val="auto"/>
              <w:rPr>
                <w:rFonts w:hint="eastAsia"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p>
        </w:tc>
        <w:tc>
          <w:tcPr>
            <w:tcW w:w="0" w:type="auto"/>
            <w:shd w:val="clear" w:color="auto" w:fill="auto"/>
            <w:vAlign w:val="center"/>
          </w:tcPr>
          <w:p w14:paraId="03E5F5ED">
            <w:pPr>
              <w:keepNext w:val="0"/>
              <w:keepLines w:val="0"/>
              <w:pageBreakBefore w:val="0"/>
              <w:kinsoku/>
              <w:wordWrap/>
              <w:overflowPunct/>
              <w:topLinePunct w:val="0"/>
              <w:autoSpaceDE/>
              <w:autoSpaceDN/>
              <w:bidi w:val="0"/>
              <w:adjustRightInd/>
              <w:snapToGrid/>
              <w:spacing w:beforeAutospacing="0" w:afterAutospacing="0" w:line="500" w:lineRule="exact"/>
              <w:jc w:val="left"/>
              <w:textAlignment w:val="auto"/>
              <w:rPr>
                <w:rFonts w:hint="eastAsia"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p>
        </w:tc>
      </w:tr>
      <w:tr w14:paraId="095E4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3C08D8D1">
            <w:pPr>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第4季度</w:t>
            </w:r>
          </w:p>
        </w:tc>
        <w:tc>
          <w:tcPr>
            <w:tcW w:w="0" w:type="auto"/>
            <w:shd w:val="clear" w:color="auto" w:fill="auto"/>
            <w:vAlign w:val="center"/>
          </w:tcPr>
          <w:p w14:paraId="4E38F168">
            <w:pPr>
              <w:keepNext w:val="0"/>
              <w:keepLines w:val="0"/>
              <w:pageBreakBefore w:val="0"/>
              <w:kinsoku/>
              <w:wordWrap/>
              <w:overflowPunct/>
              <w:topLinePunct w:val="0"/>
              <w:autoSpaceDE/>
              <w:autoSpaceDN/>
              <w:bidi w:val="0"/>
              <w:adjustRightInd/>
              <w:snapToGrid/>
              <w:spacing w:beforeAutospacing="0" w:afterAutospacing="0" w:line="500" w:lineRule="exact"/>
              <w:jc w:val="left"/>
              <w:textAlignment w:val="auto"/>
              <w:rPr>
                <w:rFonts w:hint="eastAsia"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p>
        </w:tc>
        <w:tc>
          <w:tcPr>
            <w:tcW w:w="0" w:type="auto"/>
            <w:shd w:val="clear" w:color="auto" w:fill="auto"/>
            <w:vAlign w:val="center"/>
          </w:tcPr>
          <w:p w14:paraId="7289F8BF">
            <w:pPr>
              <w:keepNext w:val="0"/>
              <w:keepLines w:val="0"/>
              <w:pageBreakBefore w:val="0"/>
              <w:kinsoku/>
              <w:wordWrap/>
              <w:overflowPunct/>
              <w:topLinePunct w:val="0"/>
              <w:autoSpaceDE/>
              <w:autoSpaceDN/>
              <w:bidi w:val="0"/>
              <w:adjustRightInd/>
              <w:snapToGrid/>
              <w:spacing w:beforeAutospacing="0" w:afterAutospacing="0" w:line="500" w:lineRule="exact"/>
              <w:jc w:val="left"/>
              <w:textAlignment w:val="auto"/>
              <w:rPr>
                <w:rFonts w:hint="eastAsia"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p>
        </w:tc>
      </w:tr>
      <w:tr w14:paraId="2A39E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79BC9D06">
            <w:pPr>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年度综合平均分</w:t>
            </w:r>
          </w:p>
        </w:tc>
        <w:tc>
          <w:tcPr>
            <w:tcW w:w="0" w:type="auto"/>
            <w:shd w:val="clear" w:color="auto" w:fill="auto"/>
            <w:vAlign w:val="center"/>
          </w:tcPr>
          <w:p w14:paraId="3EC8B900">
            <w:pPr>
              <w:keepNext w:val="0"/>
              <w:keepLines w:val="0"/>
              <w:pageBreakBefore w:val="0"/>
              <w:kinsoku/>
              <w:wordWrap/>
              <w:overflowPunct/>
              <w:topLinePunct w:val="0"/>
              <w:autoSpaceDE/>
              <w:autoSpaceDN/>
              <w:bidi w:val="0"/>
              <w:adjustRightInd/>
              <w:snapToGrid/>
              <w:spacing w:beforeAutospacing="0" w:afterAutospacing="0" w:line="500" w:lineRule="exact"/>
              <w:jc w:val="left"/>
              <w:textAlignment w:val="auto"/>
              <w:rPr>
                <w:rFonts w:hint="eastAsia"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p>
        </w:tc>
        <w:tc>
          <w:tcPr>
            <w:tcW w:w="0" w:type="auto"/>
            <w:shd w:val="clear" w:color="auto" w:fill="auto"/>
            <w:vAlign w:val="center"/>
          </w:tcPr>
          <w:p w14:paraId="0285F3EC">
            <w:pPr>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□合格≥80□基本合格60</w:t>
            </w: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noBreakHyphen/>
            </w: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79□不合格＜60</w:t>
            </w:r>
          </w:p>
        </w:tc>
      </w:tr>
    </w:tbl>
    <w:p w14:paraId="34FED1A5">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p>
    <w:p w14:paraId="0BABD9CD">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r>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t>考核汇总人：________ 审核人：________ 日期：________</w:t>
      </w:r>
    </w:p>
    <w:p w14:paraId="3699AFCC">
      <w:pPr>
        <w:keepNext w:val="0"/>
        <w:keepLines w:val="0"/>
        <w:pageBreakBefore w:val="0"/>
        <w:kinsoku/>
        <w:wordWrap/>
        <w:overflowPunct/>
        <w:topLinePunct w:val="0"/>
        <w:autoSpaceDE/>
        <w:autoSpaceDN/>
        <w:bidi w:val="0"/>
        <w:adjustRightInd/>
        <w:snapToGrid/>
        <w:spacing w:beforeAutospacing="0" w:afterAutospacing="0" w:line="500" w:lineRule="exact"/>
        <w:jc w:val="left"/>
        <w:textAlignment w:val="auto"/>
        <w:rPr>
          <w:rFonts w:hint="default" w:ascii="Times New Roman" w:hAnsi="Times New Roman" w:eastAsia="方正仿宋简体" w:cs="Times New Roman"/>
          <w:b w:val="0"/>
          <w:bCs w:val="0"/>
          <w:i w:val="0"/>
          <w:iCs w:val="0"/>
          <w:caps w:val="0"/>
          <w:color w:val="000000"/>
          <w:spacing w:val="0"/>
          <w:kern w:val="0"/>
          <w:sz w:val="28"/>
          <w:szCs w:val="28"/>
          <w:shd w:val="clear" w:color="auto" w:fill="FFFFFF"/>
          <w:lang w:val="en-US" w:eastAsia="zh-CN" w:bidi="ar"/>
        </w:rPr>
      </w:pPr>
    </w:p>
    <w:sectPr>
      <w:pgSz w:w="11906" w:h="16838"/>
      <w:pgMar w:top="1440" w:right="1800" w:bottom="1440" w:left="1800"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Zeng-HCLS" w:date="2026-09-18T12:38:12Z" w:initials="">
    <w:p w14:paraId="01487B95">
      <w:pPr>
        <w:pStyle w:val="5"/>
        <w:rPr>
          <w:rFonts w:hint="default" w:eastAsiaTheme="minorEastAsia"/>
          <w:lang w:val="en-US" w:eastAsia="zh-CN"/>
        </w:rPr>
      </w:pPr>
      <w:r>
        <w:rPr>
          <w:rFonts w:hint="eastAsia"/>
          <w:lang w:val="en-US" w:eastAsia="zh-CN"/>
        </w:rPr>
        <w:t>建议将该考评办法随征集文件一并公示，避免出现实际履行过程中对方否认该办法的情况。</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01487B95"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方正仿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Zeng-HCLS">
    <w15:presenceInfo w15:providerId="WPS Office" w15:userId="309737497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412086"/>
    <w:rsid w:val="62412086"/>
    <w:rsid w:val="7B52016B"/>
    <w:rsid w:val="7C720F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4">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8">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after="120"/>
    </w:pPr>
    <w:rPr>
      <w:kern w:val="0"/>
      <w:sz w:val="20"/>
      <w:szCs w:val="20"/>
    </w:rPr>
  </w:style>
  <w:style w:type="paragraph" w:styleId="5">
    <w:name w:val="annotation text"/>
    <w:basedOn w:val="1"/>
    <w:uiPriority w:val="0"/>
    <w:pPr>
      <w:jc w:val="left"/>
    </w:p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theme" Target="theme/theme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1795</Words>
  <Characters>1984</Characters>
  <Lines>0</Lines>
  <Paragraphs>0</Paragraphs>
  <TotalTime>22</TotalTime>
  <ScaleCrop>false</ScaleCrop>
  <LinksUpToDate>false</LinksUpToDate>
  <CharactersWithSpaces>1984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2026-09-16T07:08:00Z</dcterms:created>
  <dc:creator>%E5%88%98%E6%B3%A2</dc:creator>
  <cp:lastModifiedBy>%E5%88%98%E6%B3%A2</cp:lastModifiedBy>
  <dcterms:modified xsi:type="dcterms:W3CDTF">2026-09-20T00:44:28Z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D0FA62A7495E4B95BEF12811495A42AF_11</vt:lpwstr>
  </property>
  <property fmtid="{D5CDD505-2E9C-101B-9397-08002B2CF9AE}" pid="4" name="KSOTemplateDocerSaveRecord">
    <vt:lpwstr>eyJoZGlkIjoiMzNiZDkwNTJhYmZhNzczYmM0NmQ5Y2JlZTczNGYyNTgiLCJ1c2VySWQiOiIzOTMyMTI2NzkifQ==</vt:lpwstr>
  </property>
</Properties>
</file>