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994794">
      <w:pPr>
        <w:pStyle w:val="2"/>
        <w:keepNext w:val="0"/>
        <w:keepLines w:val="0"/>
        <w:pageBreakBefore w:val="0"/>
        <w:kinsoku/>
        <w:wordWrap/>
        <w:overflowPunct/>
        <w:topLinePunct w:val="0"/>
        <w:autoSpaceDE/>
        <w:autoSpaceDN/>
        <w:bidi w:val="0"/>
        <w:snapToGrid/>
        <w:spacing w:line="570" w:lineRule="exact"/>
        <w:textAlignment w:val="auto"/>
        <w:rPr>
          <w:rFonts w:hint="default" w:ascii="黑体" w:hAnsi="黑体" w:eastAsia="黑体" w:cs="黑体"/>
          <w:color w:val="000000"/>
          <w:sz w:val="32"/>
          <w:szCs w:val="32"/>
          <w:lang w:val="en-US" w:eastAsia="zh-CN"/>
        </w:rPr>
      </w:pPr>
      <w:r>
        <w:rPr>
          <w:rFonts w:hint="eastAsia" w:ascii="黑体" w:hAnsi="黑体" w:eastAsia="黑体" w:cs="黑体"/>
          <w:color w:val="000000"/>
          <w:sz w:val="32"/>
          <w:szCs w:val="32"/>
          <w:lang w:val="en-US" w:eastAsia="zh-CN"/>
        </w:rPr>
        <w:t>附件：</w:t>
      </w:r>
    </w:p>
    <w:p w14:paraId="6EEB71B0">
      <w:pPr>
        <w:pStyle w:val="5"/>
        <w:keepNext w:val="0"/>
        <w:keepLines w:val="0"/>
        <w:pageBreakBefore w:val="0"/>
        <w:kinsoku/>
        <w:wordWrap/>
        <w:overflowPunct/>
        <w:topLinePunct w:val="0"/>
        <w:autoSpaceDE/>
        <w:autoSpaceDN/>
        <w:bidi w:val="0"/>
        <w:snapToGrid/>
        <w:spacing w:line="570" w:lineRule="exact"/>
        <w:jc w:val="center"/>
        <w:textAlignment w:val="auto"/>
        <w:rPr>
          <w:rFonts w:hint="eastAsia" w:ascii="方正小标宋简体" w:hAnsi="方正小标宋简体" w:eastAsia="方正小标宋简体" w:cs="方正小标宋简体"/>
          <w:color w:val="000000"/>
          <w:sz w:val="44"/>
          <w:szCs w:val="44"/>
          <w:lang w:val="en-US" w:eastAsia="zh-CN"/>
        </w:rPr>
      </w:pPr>
      <w:r>
        <w:rPr>
          <w:rFonts w:hint="eastAsia" w:ascii="方正小标宋简体" w:hAnsi="方正小标宋简体" w:eastAsia="方正小标宋简体" w:cs="方正小标宋简体"/>
          <w:color w:val="000000"/>
          <w:sz w:val="44"/>
          <w:szCs w:val="44"/>
          <w:lang w:val="en-US" w:eastAsia="zh-CN"/>
        </w:rPr>
        <w:t>报价函</w:t>
      </w:r>
    </w:p>
    <w:p w14:paraId="71A3126A">
      <w:pPr>
        <w:pStyle w:val="3"/>
        <w:keepNext w:val="0"/>
        <w:keepLines w:val="0"/>
        <w:pageBreakBefore w:val="0"/>
        <w:kinsoku/>
        <w:wordWrap/>
        <w:overflowPunct/>
        <w:topLinePunct w:val="0"/>
        <w:autoSpaceDE/>
        <w:autoSpaceDN/>
        <w:bidi w:val="0"/>
        <w:snapToGrid/>
        <w:spacing w:line="570" w:lineRule="exact"/>
        <w:textAlignment w:val="auto"/>
        <w:rPr>
          <w:rFonts w:hint="eastAsia" w:ascii="仿宋_GB2312" w:hAnsi="仿宋_GB2312" w:eastAsia="仿宋_GB2312" w:cs="仿宋_GB2312"/>
          <w:color w:val="000000"/>
          <w:sz w:val="32"/>
          <w:szCs w:val="32"/>
          <w:lang w:val="en-US" w:eastAsia="zh-CN"/>
        </w:rPr>
      </w:pPr>
    </w:p>
    <w:p w14:paraId="36B61428">
      <w:pPr>
        <w:pStyle w:val="3"/>
        <w:keepNext w:val="0"/>
        <w:keepLines w:val="0"/>
        <w:pageBreakBefore w:val="0"/>
        <w:kinsoku/>
        <w:wordWrap/>
        <w:overflowPunct/>
        <w:topLinePunct w:val="0"/>
        <w:autoSpaceDE/>
        <w:autoSpaceDN/>
        <w:bidi w:val="0"/>
        <w:snapToGrid/>
        <w:spacing w:line="570" w:lineRule="exact"/>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000000"/>
          <w:sz w:val="32"/>
          <w:szCs w:val="32"/>
          <w:lang w:val="en-US" w:eastAsia="zh-CN"/>
        </w:rPr>
        <w:t>广汉市广投建材有限公司：</w:t>
      </w:r>
    </w:p>
    <w:p w14:paraId="57A10B56">
      <w:pPr>
        <w:keepNext w:val="0"/>
        <w:keepLines w:val="0"/>
        <w:pageBreakBefore w:val="0"/>
        <w:kinsoku/>
        <w:wordWrap/>
        <w:overflowPunct/>
        <w:topLinePunct w:val="0"/>
        <w:autoSpaceDE/>
        <w:autoSpaceDN/>
        <w:bidi w:val="0"/>
        <w:adjustRightInd/>
        <w:snapToGrid/>
        <w:spacing w:line="570" w:lineRule="exact"/>
        <w:ind w:firstLine="640" w:firstLineChars="200"/>
        <w:jc w:val="both"/>
        <w:textAlignment w:val="auto"/>
        <w:rPr>
          <w:rFonts w:hint="default" w:ascii="Times New Roman" w:hAnsi="Times New Roman" w:eastAsia="仿宋_GB2312" w:cs="Times New Roman"/>
          <w:color w:val="auto"/>
          <w:sz w:val="32"/>
          <w:szCs w:val="32"/>
          <w:u w:val="none"/>
          <w:lang w:val="en-US" w:eastAsia="zh-CN"/>
        </w:rPr>
      </w:pPr>
      <w:r>
        <w:rPr>
          <w:rFonts w:hint="default" w:ascii="Times New Roman" w:hAnsi="Times New Roman" w:eastAsia="仿宋_GB2312" w:cs="Times New Roman"/>
          <w:sz w:val="32"/>
          <w:szCs w:val="32"/>
          <w:lang w:val="en-US" w:eastAsia="zh-CN"/>
        </w:rPr>
        <w:t>关于</w:t>
      </w:r>
      <w:r>
        <w:rPr>
          <w:rFonts w:hint="default" w:ascii="Times New Roman" w:hAnsi="Times New Roman" w:eastAsia="仿宋_GB2312" w:cs="Times New Roman"/>
          <w:kern w:val="32"/>
          <w:sz w:val="32"/>
          <w:szCs w:val="32"/>
          <w:u w:val="single"/>
          <w:lang w:val="en-US" w:eastAsia="zh-CN" w:bidi="ar-SA"/>
        </w:rPr>
        <w:t>广汉市广投建材有限公司关于商品混凝土搅拌站采购水泥供应商的市场调研</w:t>
      </w:r>
      <w:r>
        <w:rPr>
          <w:rFonts w:hint="default" w:ascii="Times New Roman" w:hAnsi="Times New Roman" w:eastAsia="仿宋_GB2312" w:cs="Times New Roman"/>
          <w:kern w:val="0"/>
          <w:sz w:val="32"/>
          <w:szCs w:val="32"/>
          <w:u w:val="single"/>
          <w:lang w:val="en-US" w:eastAsia="zh-CN" w:bidi="ar"/>
        </w:rPr>
        <w:t>的事项</w:t>
      </w:r>
      <w:r>
        <w:rPr>
          <w:rFonts w:hint="default" w:ascii="Times New Roman" w:hAnsi="Times New Roman" w:eastAsia="仿宋_GB2312" w:cs="Times New Roman"/>
          <w:kern w:val="0"/>
          <w:sz w:val="32"/>
          <w:szCs w:val="32"/>
          <w:lang w:val="en-US" w:eastAsia="zh-CN" w:bidi="ar"/>
        </w:rPr>
        <w:t>，结合本事项特点及核算内容，经仔细研究决定，我方</w:t>
      </w:r>
      <w:r>
        <w:rPr>
          <w:rFonts w:hint="default" w:ascii="Times New Roman" w:hAnsi="Times New Roman" w:eastAsia="仿宋_GB2312" w:cs="Times New Roman"/>
          <w:kern w:val="0"/>
          <w:sz w:val="32"/>
          <w:szCs w:val="32"/>
          <w:u w:val="single"/>
          <w:lang w:val="en-US" w:eastAsia="zh-CN" w:bidi="ar"/>
        </w:rPr>
        <w:t xml:space="preserve">               </w:t>
      </w:r>
      <w:r>
        <w:rPr>
          <w:rFonts w:hint="default" w:ascii="Times New Roman" w:hAnsi="Times New Roman" w:eastAsia="仿宋_GB2312" w:cs="Times New Roman"/>
          <w:kern w:val="0"/>
          <w:sz w:val="32"/>
          <w:szCs w:val="32"/>
          <w:lang w:val="en-US" w:eastAsia="zh-CN" w:bidi="ar"/>
        </w:rPr>
        <w:t>（单位名称）针对普通硅酸盐水泥</w:t>
      </w:r>
      <w:r>
        <w:rPr>
          <w:rFonts w:hint="default" w:ascii="Times New Roman" w:hAnsi="Times New Roman" w:eastAsia="仿宋_GB2312" w:cs="Times New Roman"/>
          <w:b w:val="0"/>
          <w:bCs w:val="0"/>
          <w:snapToGrid w:val="0"/>
          <w:spacing w:val="-6"/>
          <w:kern w:val="0"/>
          <w:sz w:val="32"/>
          <w:szCs w:val="32"/>
          <w:lang w:val="en-US" w:eastAsia="zh-CN" w:bidi="ar-SA"/>
        </w:rPr>
        <w:t>（P.O42.5R）、（P.O52.5R）</w:t>
      </w:r>
      <w:r>
        <w:rPr>
          <w:rFonts w:hint="default" w:ascii="Times New Roman" w:hAnsi="Times New Roman" w:eastAsia="仿宋_GB2312" w:cs="Times New Roman"/>
          <w:kern w:val="0"/>
          <w:sz w:val="32"/>
          <w:szCs w:val="32"/>
          <w:lang w:val="en-US" w:eastAsia="zh-CN" w:bidi="ar"/>
        </w:rPr>
        <w:t xml:space="preserve"> </w:t>
      </w:r>
      <w:r>
        <w:rPr>
          <w:rFonts w:hint="eastAsia" w:eastAsia="仿宋_GB2312" w:cs="Times New Roman"/>
          <w:kern w:val="0"/>
          <w:sz w:val="32"/>
          <w:szCs w:val="32"/>
          <w:lang w:val="en-US" w:eastAsia="zh-CN" w:bidi="ar"/>
        </w:rPr>
        <w:t>报价</w:t>
      </w:r>
      <w:r>
        <w:rPr>
          <w:rFonts w:hint="default" w:ascii="Times New Roman" w:hAnsi="Times New Roman" w:eastAsia="仿宋_GB2312" w:cs="Times New Roman"/>
          <w:kern w:val="0"/>
          <w:sz w:val="32"/>
          <w:szCs w:val="32"/>
          <w:lang w:val="en-US" w:eastAsia="zh-CN" w:bidi="ar"/>
        </w:rPr>
        <w:t>金额分别为</w:t>
      </w:r>
      <w:r>
        <w:rPr>
          <w:rFonts w:hint="default" w:ascii="Times New Roman" w:hAnsi="Times New Roman" w:eastAsia="仿宋_GB2312" w:cs="Times New Roman"/>
          <w:b w:val="0"/>
          <w:bCs w:val="0"/>
          <w:snapToGrid w:val="0"/>
          <w:spacing w:val="-6"/>
          <w:kern w:val="0"/>
          <w:sz w:val="32"/>
          <w:szCs w:val="32"/>
          <w:lang w:val="en-US" w:eastAsia="zh-CN" w:bidi="ar-SA"/>
        </w:rPr>
        <w:t>（P.O42.5R）</w:t>
      </w:r>
      <w:r>
        <w:rPr>
          <w:rFonts w:hint="default" w:ascii="Times New Roman" w:hAnsi="Times New Roman" w:eastAsia="仿宋_GB2312" w:cs="Times New Roman"/>
          <w:b w:val="0"/>
          <w:bCs w:val="0"/>
          <w:snapToGrid w:val="0"/>
          <w:spacing w:val="-6"/>
          <w:kern w:val="0"/>
          <w:sz w:val="32"/>
          <w:szCs w:val="32"/>
          <w:u w:val="single"/>
          <w:lang w:val="en-US" w:eastAsia="zh-CN" w:bidi="ar-SA"/>
        </w:rPr>
        <w:t xml:space="preserve">        </w:t>
      </w:r>
      <w:r>
        <w:rPr>
          <w:rFonts w:hint="default" w:ascii="Times New Roman" w:hAnsi="Times New Roman" w:eastAsia="仿宋_GB2312" w:cs="Times New Roman"/>
          <w:kern w:val="0"/>
          <w:sz w:val="32"/>
          <w:szCs w:val="32"/>
          <w:lang w:val="en-US" w:eastAsia="zh-CN" w:bidi="ar"/>
        </w:rPr>
        <w:t>元/吨,（大写：人民币</w:t>
      </w:r>
      <w:r>
        <w:rPr>
          <w:rFonts w:hint="default" w:ascii="Times New Roman" w:hAnsi="Times New Roman" w:eastAsia="仿宋_GB2312" w:cs="Times New Roman"/>
          <w:kern w:val="0"/>
          <w:sz w:val="32"/>
          <w:szCs w:val="32"/>
          <w:u w:val="single"/>
          <w:lang w:val="en-US" w:eastAsia="zh-CN" w:bidi="ar"/>
        </w:rPr>
        <w:t xml:space="preserve">          </w:t>
      </w:r>
      <w:r>
        <w:rPr>
          <w:rFonts w:hint="default"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b w:val="0"/>
          <w:bCs w:val="0"/>
          <w:snapToGrid w:val="0"/>
          <w:spacing w:val="-6"/>
          <w:kern w:val="0"/>
          <w:sz w:val="32"/>
          <w:szCs w:val="32"/>
          <w:lang w:val="en-US" w:eastAsia="zh-CN" w:bidi="ar-SA"/>
        </w:rPr>
        <w:t>（P.O52.5R）</w:t>
      </w:r>
      <w:r>
        <w:rPr>
          <w:rFonts w:hint="default" w:ascii="Times New Roman" w:hAnsi="Times New Roman" w:eastAsia="仿宋_GB2312" w:cs="Times New Roman"/>
          <w:kern w:val="0"/>
          <w:sz w:val="32"/>
          <w:szCs w:val="32"/>
          <w:u w:val="single"/>
          <w:lang w:val="en-US" w:eastAsia="zh-CN" w:bidi="ar"/>
        </w:rPr>
        <w:t xml:space="preserve">  </w:t>
      </w:r>
      <w:r>
        <w:rPr>
          <w:rFonts w:hint="eastAsia" w:ascii="Times New Roman" w:hAnsi="Times New Roman" w:eastAsia="仿宋_GB2312" w:cs="Times New Roman"/>
          <w:kern w:val="0"/>
          <w:sz w:val="32"/>
          <w:szCs w:val="32"/>
          <w:u w:val="single"/>
          <w:lang w:val="en-US" w:eastAsia="zh-CN" w:bidi="ar"/>
        </w:rPr>
        <w:t xml:space="preserve"> </w:t>
      </w:r>
      <w:r>
        <w:rPr>
          <w:rFonts w:hint="default" w:ascii="Times New Roman" w:hAnsi="Times New Roman" w:eastAsia="仿宋_GB2312" w:cs="Times New Roman"/>
          <w:kern w:val="0"/>
          <w:sz w:val="32"/>
          <w:szCs w:val="32"/>
          <w:u w:val="single"/>
          <w:lang w:val="en-US" w:eastAsia="zh-CN" w:bidi="ar"/>
        </w:rPr>
        <w:t xml:space="preserve">      </w:t>
      </w:r>
      <w:r>
        <w:rPr>
          <w:rFonts w:hint="default" w:ascii="Times New Roman" w:hAnsi="Times New Roman" w:eastAsia="仿宋_GB2312" w:cs="Times New Roman"/>
          <w:kern w:val="0"/>
          <w:sz w:val="32"/>
          <w:szCs w:val="32"/>
          <w:lang w:val="en-US" w:eastAsia="zh-CN" w:bidi="ar"/>
        </w:rPr>
        <w:t>元/吨</w:t>
      </w:r>
      <w:r>
        <w:rPr>
          <w:rFonts w:hint="eastAsia" w:ascii="Times New Roman" w:hAnsi="Times New Roman" w:eastAsia="仿宋_GB2312" w:cs="Times New Roman"/>
          <w:kern w:val="0"/>
          <w:sz w:val="32"/>
          <w:szCs w:val="32"/>
          <w:lang w:val="en-US" w:eastAsia="zh-CN" w:bidi="ar"/>
        </w:rPr>
        <w:t>，</w:t>
      </w:r>
      <w:r>
        <w:rPr>
          <w:rFonts w:hint="default" w:ascii="Times New Roman" w:hAnsi="Times New Roman" w:eastAsia="仿宋_GB2312" w:cs="Times New Roman"/>
          <w:kern w:val="0"/>
          <w:sz w:val="32"/>
          <w:szCs w:val="32"/>
          <w:lang w:val="en-US" w:eastAsia="zh-CN" w:bidi="ar"/>
        </w:rPr>
        <w:t>（大写：人民币</w:t>
      </w:r>
      <w:r>
        <w:rPr>
          <w:rFonts w:hint="default" w:ascii="Times New Roman" w:hAnsi="Times New Roman" w:eastAsia="仿宋_GB2312" w:cs="Times New Roman"/>
          <w:kern w:val="0"/>
          <w:sz w:val="32"/>
          <w:szCs w:val="32"/>
          <w:u w:val="single"/>
          <w:lang w:val="en-US" w:eastAsia="zh-CN" w:bidi="ar"/>
        </w:rPr>
        <w:t xml:space="preserve">       </w:t>
      </w:r>
      <w:r>
        <w:rPr>
          <w:rFonts w:hint="default" w:ascii="Times New Roman" w:hAnsi="Times New Roman" w:eastAsia="仿宋_GB2312" w:cs="Times New Roman"/>
          <w:kern w:val="0"/>
          <w:sz w:val="32"/>
          <w:szCs w:val="32"/>
          <w:lang w:val="en-US" w:eastAsia="zh-CN" w:bidi="ar"/>
        </w:rPr>
        <w:t>）（精</w:t>
      </w:r>
      <w:bookmarkStart w:id="0" w:name="_GoBack"/>
      <w:bookmarkEnd w:id="0"/>
      <w:r>
        <w:rPr>
          <w:rFonts w:hint="default" w:ascii="Times New Roman" w:hAnsi="Times New Roman" w:eastAsia="仿宋_GB2312" w:cs="Times New Roman"/>
          <w:kern w:val="0"/>
          <w:sz w:val="32"/>
          <w:szCs w:val="32"/>
          <w:lang w:val="en-US" w:eastAsia="zh-CN" w:bidi="ar"/>
        </w:rPr>
        <w:t>确到小数点后两位）。</w:t>
      </w:r>
      <w:r>
        <w:rPr>
          <w:rFonts w:hint="default" w:ascii="Times New Roman" w:hAnsi="Times New Roman" w:eastAsia="仿宋_GB2312" w:cs="Times New Roman"/>
          <w:b w:val="0"/>
          <w:bCs w:val="0"/>
          <w:snapToGrid w:val="0"/>
          <w:spacing w:val="-6"/>
          <w:kern w:val="0"/>
          <w:sz w:val="32"/>
          <w:szCs w:val="32"/>
          <w:lang w:val="en-US" w:eastAsia="zh-CN" w:bidi="ar-SA"/>
        </w:rPr>
        <w:t xml:space="preserve">       </w:t>
      </w:r>
      <w:r>
        <w:rPr>
          <w:rFonts w:hint="default" w:ascii="Times New Roman" w:hAnsi="Times New Roman" w:eastAsia="仿宋_GB2312" w:cs="Times New Roman"/>
          <w:kern w:val="0"/>
          <w:sz w:val="32"/>
          <w:szCs w:val="32"/>
          <w:lang w:val="en-US" w:eastAsia="zh-CN" w:bidi="ar"/>
        </w:rPr>
        <w:t xml:space="preserve">                                                                                                                                                              </w:t>
      </w:r>
    </w:p>
    <w:p w14:paraId="0EE343EA">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default" w:ascii="Times New Roman" w:hAnsi="Times New Roman" w:eastAsia="仿宋_GB2312" w:cs="Times New Roman"/>
          <w:color w:val="auto"/>
          <w:sz w:val="32"/>
          <w:szCs w:val="32"/>
          <w:u w:val="none"/>
          <w:lang w:val="en-US" w:eastAsia="zh-CN"/>
        </w:rPr>
      </w:pPr>
    </w:p>
    <w:p w14:paraId="32F2F66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left="0" w:right="0" w:firstLine="630"/>
        <w:jc w:val="both"/>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sz w:val="32"/>
          <w:szCs w:val="32"/>
          <w:lang w:val="en-US" w:eastAsia="zh-CN"/>
        </w:rPr>
        <w:t>注：所有报价均用人民币表示，</w:t>
      </w:r>
      <w:r>
        <w:rPr>
          <w:rFonts w:hint="default" w:ascii="Times New Roman" w:hAnsi="Times New Roman" w:eastAsia="仿宋_GB2312" w:cs="Times New Roman"/>
          <w:kern w:val="32"/>
          <w:sz w:val="32"/>
          <w:szCs w:val="32"/>
          <w:lang w:val="en-US" w:eastAsia="zh-CN" w:bidi="ar-SA"/>
        </w:rPr>
        <w:t>本次报价应为</w:t>
      </w:r>
      <w:r>
        <w:rPr>
          <w:rFonts w:hint="default" w:ascii="Times New Roman" w:hAnsi="Times New Roman" w:eastAsia="仿宋_GB2312" w:cs="Times New Roman"/>
          <w:b w:val="0"/>
          <w:bCs w:val="0"/>
          <w:snapToGrid w:val="0"/>
          <w:spacing w:val="-6"/>
          <w:kern w:val="0"/>
          <w:sz w:val="32"/>
          <w:szCs w:val="32"/>
          <w:lang w:val="en-US" w:eastAsia="zh-CN" w:bidi="ar-SA"/>
        </w:rPr>
        <w:t>含税到站综合落地价（增值税 13% 专用发票）</w:t>
      </w:r>
      <w:r>
        <w:rPr>
          <w:rFonts w:hint="default" w:ascii="Times New Roman" w:hAnsi="Times New Roman" w:eastAsia="仿宋_GB2312" w:cs="Times New Roman"/>
          <w:kern w:val="32"/>
          <w:sz w:val="32"/>
          <w:szCs w:val="32"/>
          <w:lang w:val="en-US" w:eastAsia="zh-CN" w:bidi="ar-SA"/>
        </w:rPr>
        <w:t>，</w:t>
      </w:r>
      <w:r>
        <w:rPr>
          <w:rFonts w:hint="default" w:ascii="Times New Roman" w:hAnsi="Times New Roman" w:eastAsia="仿宋_GB2312" w:cs="Times New Roman"/>
          <w:b w:val="0"/>
          <w:bCs w:val="0"/>
          <w:snapToGrid w:val="0"/>
          <w:spacing w:val="-6"/>
          <w:kern w:val="0"/>
          <w:sz w:val="32"/>
          <w:szCs w:val="32"/>
          <w:lang w:val="en-US" w:eastAsia="zh-CN" w:bidi="ar-SA"/>
        </w:rPr>
        <w:t>包含出厂费、运输费、罐车密闭运输、卸料、保险、出厂检测、质保、质量售后等全部费用，到场过磅计量。</w:t>
      </w:r>
      <w:r>
        <w:rPr>
          <w:rFonts w:hint="default" w:ascii="Times New Roman" w:hAnsi="Times New Roman" w:eastAsia="仿宋_GB2312" w:cs="Times New Roman"/>
          <w:color w:val="auto"/>
          <w:kern w:val="2"/>
          <w:sz w:val="32"/>
          <w:szCs w:val="32"/>
          <w:u w:val="none"/>
          <w:lang w:val="en-US" w:eastAsia="zh-CN" w:bidi="ar-SA"/>
        </w:rPr>
        <w:t>招标人无任何增量付费义务。</w:t>
      </w:r>
    </w:p>
    <w:p w14:paraId="5D3214D7">
      <w:pPr>
        <w:keepNext w:val="0"/>
        <w:keepLines w:val="0"/>
        <w:pageBreakBefore w:val="0"/>
        <w:kinsoku/>
        <w:wordWrap/>
        <w:overflowPunct/>
        <w:topLinePunct w:val="0"/>
        <w:autoSpaceDE/>
        <w:autoSpaceDN/>
        <w:bidi w:val="0"/>
        <w:adjustRightInd w:val="0"/>
        <w:snapToGrid/>
        <w:spacing w:line="570" w:lineRule="exact"/>
        <w:jc w:val="left"/>
        <w:textAlignment w:val="auto"/>
        <w:rPr>
          <w:rFonts w:hint="default" w:ascii="Times New Roman" w:hAnsi="Times New Roman" w:eastAsia="仿宋_GB2312" w:cs="Times New Roman"/>
          <w:color w:val="auto"/>
          <w:kern w:val="2"/>
          <w:sz w:val="32"/>
          <w:szCs w:val="32"/>
          <w:u w:val="none"/>
          <w:lang w:val="en-US" w:eastAsia="zh-CN" w:bidi="ar-SA"/>
        </w:rPr>
      </w:pPr>
    </w:p>
    <w:p w14:paraId="60157AB7">
      <w:pPr>
        <w:keepNext w:val="0"/>
        <w:keepLines w:val="0"/>
        <w:pageBreakBefore w:val="0"/>
        <w:kinsoku/>
        <w:wordWrap/>
        <w:overflowPunct/>
        <w:topLinePunct w:val="0"/>
        <w:autoSpaceDE/>
        <w:autoSpaceDN/>
        <w:bidi w:val="0"/>
        <w:adjustRightInd w:val="0"/>
        <w:snapToGrid/>
        <w:spacing w:line="570" w:lineRule="exact"/>
        <w:jc w:val="left"/>
        <w:textAlignment w:val="auto"/>
        <w:rPr>
          <w:rFonts w:hint="eastAsia" w:ascii="仿宋_GB2312" w:hAnsi="仿宋_GB2312" w:eastAsia="仿宋_GB2312" w:cs="仿宋_GB2312"/>
          <w:color w:val="auto"/>
          <w:kern w:val="2"/>
          <w:sz w:val="32"/>
          <w:szCs w:val="32"/>
          <w:u w:val="none"/>
          <w:lang w:val="en-US" w:eastAsia="zh-CN" w:bidi="ar-SA"/>
        </w:rPr>
      </w:pPr>
    </w:p>
    <w:p w14:paraId="520581DE">
      <w:pPr>
        <w:keepNext w:val="0"/>
        <w:keepLines w:val="0"/>
        <w:pageBreakBefore w:val="0"/>
        <w:kinsoku/>
        <w:wordWrap/>
        <w:overflowPunct/>
        <w:topLinePunct w:val="0"/>
        <w:autoSpaceDE/>
        <w:autoSpaceDN/>
        <w:bidi w:val="0"/>
        <w:adjustRightInd w:val="0"/>
        <w:snapToGrid/>
        <w:spacing w:line="57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2"/>
          <w:sz w:val="32"/>
          <w:szCs w:val="32"/>
          <w:u w:val="none"/>
          <w:lang w:val="en-US" w:eastAsia="zh-CN" w:bidi="ar-SA"/>
        </w:rPr>
        <w:t>单位名称</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color w:val="auto"/>
          <w:sz w:val="32"/>
          <w:szCs w:val="32"/>
          <w:u w:val="single"/>
          <w:lang w:val="en-US" w:eastAsia="zh-CN"/>
        </w:rPr>
        <w:t xml:space="preserve"> </w:t>
      </w:r>
      <w:r>
        <w:rPr>
          <w:rFonts w:hint="eastAsia" w:ascii="仿宋_GB2312" w:hAnsi="仿宋_GB2312" w:eastAsia="仿宋_GB2312" w:cs="仿宋_GB2312"/>
          <w:color w:val="auto"/>
          <w:sz w:val="32"/>
          <w:szCs w:val="32"/>
        </w:rPr>
        <w:t>（盖单位公章）</w:t>
      </w:r>
    </w:p>
    <w:p w14:paraId="382004BF">
      <w:pPr>
        <w:keepNext w:val="0"/>
        <w:keepLines w:val="0"/>
        <w:pageBreakBefore w:val="0"/>
        <w:kinsoku/>
        <w:wordWrap/>
        <w:overflowPunct/>
        <w:topLinePunct w:val="0"/>
        <w:autoSpaceDE/>
        <w:autoSpaceDN/>
        <w:bidi w:val="0"/>
        <w:snapToGrid/>
        <w:spacing w:line="570" w:lineRule="exact"/>
        <w:ind w:firstLine="640" w:firstLineChars="200"/>
        <w:jc w:val="left"/>
        <w:textAlignment w:val="auto"/>
        <w:rPr>
          <w:rFonts w:hint="default" w:ascii="仿宋_GB2312" w:hAnsi="仿宋_GB2312" w:eastAsia="仿宋_GB2312" w:cs="仿宋_GB2312"/>
          <w:bCs/>
          <w:color w:val="auto"/>
          <w:sz w:val="32"/>
          <w:szCs w:val="32"/>
          <w:u w:val="single"/>
          <w:lang w:val="en-US" w:eastAsia="zh-CN"/>
        </w:rPr>
      </w:pPr>
      <w:r>
        <w:rPr>
          <w:rFonts w:hint="eastAsia" w:ascii="仿宋_GB2312" w:hAnsi="仿宋_GB2312" w:eastAsia="仿宋_GB2312" w:cs="仿宋_GB2312"/>
          <w:bCs/>
          <w:color w:val="auto"/>
          <w:sz w:val="32"/>
          <w:szCs w:val="32"/>
          <w:lang w:val="en-US" w:eastAsia="zh-CN"/>
        </w:rPr>
        <w:t>联 系 人：</w:t>
      </w:r>
      <w:r>
        <w:rPr>
          <w:rFonts w:hint="eastAsia" w:ascii="仿宋_GB2312" w:hAnsi="仿宋_GB2312" w:eastAsia="仿宋_GB2312" w:cs="仿宋_GB2312"/>
          <w:bCs/>
          <w:color w:val="auto"/>
          <w:sz w:val="32"/>
          <w:szCs w:val="32"/>
          <w:u w:val="single"/>
        </w:rPr>
        <w:t xml:space="preserve">   </w:t>
      </w:r>
      <w:r>
        <w:rPr>
          <w:rFonts w:hint="eastAsia" w:ascii="仿宋_GB2312" w:hAnsi="仿宋_GB2312" w:eastAsia="仿宋_GB2312" w:cs="仿宋_GB2312"/>
          <w:bCs/>
          <w:color w:val="auto"/>
          <w:sz w:val="32"/>
          <w:szCs w:val="32"/>
          <w:u w:val="single"/>
          <w:lang w:val="en-US" w:eastAsia="zh-CN"/>
        </w:rPr>
        <w:t xml:space="preserve"> </w:t>
      </w:r>
      <w:r>
        <w:rPr>
          <w:rFonts w:hint="eastAsia" w:ascii="仿宋_GB2312" w:hAnsi="仿宋_GB2312" w:eastAsia="仿宋_GB2312" w:cs="仿宋_GB2312"/>
          <w:bCs/>
          <w:color w:val="auto"/>
          <w:sz w:val="32"/>
          <w:szCs w:val="32"/>
          <w:u w:val="single"/>
        </w:rPr>
        <w:t xml:space="preserve">     </w:t>
      </w:r>
      <w:r>
        <w:rPr>
          <w:rFonts w:hint="eastAsia" w:ascii="仿宋_GB2312" w:hAnsi="仿宋_GB2312" w:eastAsia="仿宋_GB2312" w:cs="仿宋_GB2312"/>
          <w:bCs/>
          <w:color w:val="auto"/>
          <w:sz w:val="32"/>
          <w:szCs w:val="32"/>
          <w:u w:val="single"/>
          <w:lang w:val="en-US" w:eastAsia="zh-CN"/>
        </w:rPr>
        <w:t xml:space="preserve">   </w:t>
      </w:r>
    </w:p>
    <w:p w14:paraId="30C85D94">
      <w:pPr>
        <w:keepNext w:val="0"/>
        <w:keepLines w:val="0"/>
        <w:pageBreakBefore w:val="0"/>
        <w:kinsoku/>
        <w:wordWrap/>
        <w:overflowPunct/>
        <w:topLinePunct w:val="0"/>
        <w:autoSpaceDE/>
        <w:autoSpaceDN/>
        <w:bidi w:val="0"/>
        <w:snapToGrid/>
        <w:spacing w:line="570" w:lineRule="exact"/>
        <w:ind w:firstLine="640" w:firstLineChars="200"/>
        <w:jc w:val="left"/>
        <w:textAlignment w:val="auto"/>
        <w:rPr>
          <w:rFonts w:hint="default" w:ascii="仿宋_GB2312" w:hAnsi="仿宋_GB2312" w:eastAsia="仿宋_GB2312" w:cs="仿宋_GB2312"/>
          <w:bCs/>
          <w:color w:val="auto"/>
          <w:sz w:val="32"/>
          <w:szCs w:val="32"/>
          <w:u w:val="single"/>
          <w:lang w:val="en-US" w:eastAsia="zh-CN"/>
        </w:rPr>
      </w:pPr>
      <w:r>
        <w:rPr>
          <w:rFonts w:hint="eastAsia" w:ascii="仿宋_GB2312" w:hAnsi="仿宋_GB2312" w:eastAsia="仿宋_GB2312" w:cs="仿宋_GB2312"/>
          <w:bCs/>
          <w:color w:val="auto"/>
          <w:sz w:val="32"/>
          <w:szCs w:val="32"/>
          <w:u w:val="none"/>
          <w:lang w:val="en-US" w:eastAsia="zh-CN"/>
        </w:rPr>
        <w:t>联系电话：</w:t>
      </w:r>
      <w:r>
        <w:rPr>
          <w:rFonts w:hint="eastAsia" w:ascii="仿宋_GB2312" w:hAnsi="仿宋_GB2312" w:eastAsia="仿宋_GB2312" w:cs="仿宋_GB2312"/>
          <w:bCs/>
          <w:color w:val="auto"/>
          <w:sz w:val="32"/>
          <w:szCs w:val="32"/>
          <w:u w:val="single"/>
          <w:lang w:val="en-US" w:eastAsia="zh-CN"/>
        </w:rPr>
        <w:t xml:space="preserve">            </w:t>
      </w:r>
    </w:p>
    <w:p w14:paraId="445E25E5">
      <w:pPr>
        <w:ind w:firstLine="640" w:firstLineChars="200"/>
      </w:pPr>
      <w:r>
        <w:rPr>
          <w:rFonts w:hint="eastAsia" w:ascii="仿宋_GB2312" w:hAnsi="仿宋_GB2312" w:eastAsia="仿宋_GB2312" w:cs="仿宋_GB2312"/>
          <w:bCs/>
          <w:color w:val="auto"/>
          <w:sz w:val="32"/>
          <w:szCs w:val="32"/>
        </w:rPr>
        <w:t xml:space="preserve">日  </w:t>
      </w:r>
      <w:r>
        <w:rPr>
          <w:rFonts w:hint="eastAsia" w:ascii="仿宋_GB2312" w:hAnsi="仿宋_GB2312" w:eastAsia="仿宋_GB2312" w:cs="仿宋_GB2312"/>
          <w:bCs/>
          <w:color w:val="auto"/>
          <w:sz w:val="32"/>
          <w:szCs w:val="32"/>
          <w:lang w:val="en-US" w:eastAsia="zh-CN"/>
        </w:rPr>
        <w:t xml:space="preserve">  </w:t>
      </w:r>
      <w:r>
        <w:rPr>
          <w:rFonts w:hint="eastAsia" w:ascii="仿宋_GB2312" w:hAnsi="仿宋_GB2312" w:eastAsia="仿宋_GB2312" w:cs="仿宋_GB2312"/>
          <w:bCs/>
          <w:color w:val="auto"/>
          <w:sz w:val="32"/>
          <w:szCs w:val="32"/>
        </w:rPr>
        <w:t>期：</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bCs/>
          <w:color w:val="auto"/>
          <w:sz w:val="32"/>
          <w:szCs w:val="32"/>
        </w:rPr>
        <w:t>年</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bCs/>
          <w:color w:val="auto"/>
          <w:sz w:val="32"/>
          <w:szCs w:val="32"/>
        </w:rPr>
        <w:t>月</w:t>
      </w:r>
      <w:r>
        <w:rPr>
          <w:rFonts w:hint="eastAsia" w:ascii="仿宋_GB2312" w:hAnsi="仿宋_GB2312" w:eastAsia="仿宋_GB2312" w:cs="仿宋_GB2312"/>
          <w:color w:val="auto"/>
          <w:sz w:val="32"/>
          <w:szCs w:val="32"/>
          <w:u w:val="single"/>
        </w:rPr>
        <w:t xml:space="preserve">       </w:t>
      </w:r>
      <w:r>
        <w:rPr>
          <w:rFonts w:hint="eastAsia" w:ascii="仿宋_GB2312" w:hAnsi="仿宋_GB2312" w:eastAsia="仿宋_GB2312" w:cs="仿宋_GB2312"/>
          <w:bCs/>
          <w:color w:val="auto"/>
          <w:sz w:val="32"/>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767EB5"/>
    <w:rsid w:val="0885641D"/>
    <w:rsid w:val="0C0F1E8E"/>
    <w:rsid w:val="11DD55A3"/>
    <w:rsid w:val="151D37FD"/>
    <w:rsid w:val="1BE178C9"/>
    <w:rsid w:val="294F692F"/>
    <w:rsid w:val="2FF975F4"/>
    <w:rsid w:val="32C43EEA"/>
    <w:rsid w:val="33D56C16"/>
    <w:rsid w:val="380B4DB2"/>
    <w:rsid w:val="399205A7"/>
    <w:rsid w:val="3D2758BB"/>
    <w:rsid w:val="3DA2472E"/>
    <w:rsid w:val="41435958"/>
    <w:rsid w:val="42E45FBA"/>
    <w:rsid w:val="44B453B7"/>
    <w:rsid w:val="4AE82BC8"/>
    <w:rsid w:val="4D0013FD"/>
    <w:rsid w:val="51F577C4"/>
    <w:rsid w:val="59B77A55"/>
    <w:rsid w:val="61523D33"/>
    <w:rsid w:val="623E0D13"/>
    <w:rsid w:val="7060454A"/>
    <w:rsid w:val="76371E5E"/>
    <w:rsid w:val="7A051B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99"/>
    <w:pPr>
      <w:widowControl w:val="0"/>
      <w:jc w:val="both"/>
    </w:pPr>
    <w:rPr>
      <w:rFonts w:ascii="Times New Roman" w:hAnsi="Times New Roman"/>
      <w:kern w:val="2"/>
      <w:sz w:val="21"/>
      <w:szCs w:val="24"/>
      <w:lang w:val="en-US" w:eastAsia="zh-CN" w:bidi="ar-SA"/>
    </w:rPr>
  </w:style>
  <w:style w:type="paragraph" w:styleId="3">
    <w:name w:val="Plain Text"/>
    <w:basedOn w:val="1"/>
    <w:next w:val="1"/>
    <w:qFormat/>
    <w:uiPriority w:val="0"/>
    <w:rPr>
      <w:rFonts w:ascii="宋体" w:hAnsi="Courier New"/>
      <w:sz w:val="30"/>
      <w:szCs w:val="20"/>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5">
    <w:name w:val="Body Text First Indent"/>
    <w:basedOn w:val="2"/>
    <w:next w:val="3"/>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280</Words>
  <Characters>310</Characters>
  <Lines>0</Lines>
  <Paragraphs>0</Paragraphs>
  <TotalTime>1</TotalTime>
  <ScaleCrop>false</ScaleCrop>
  <LinksUpToDate>false</LinksUpToDate>
  <CharactersWithSpaces>589</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2026-06-16T03:26:00Z</dcterms:created>
  <dc:creator>95143</dc:creator>
  <cp:lastModifiedBy>大脸猫</cp:lastModifiedBy>
  <cp:lastPrinted>2026-10-26T03:30:48Z</cp:lastPrinted>
  <dcterms:modified xsi:type="dcterms:W3CDTF">2026-10-26T03:30:49Z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KSOTemplateDocerSaveRecord">
    <vt:lpwstr>eyJoZGlkIjoiMWY0N2U1NTY1ZWU0OGE0NzY2OTg2Y2JjZjE4ZjQxYjUiLCJ1c2VySWQiOiIxNDYwMzQzMDE2In0=</vt:lpwstr>
  </property>
  <property fmtid="{D5CDD505-2E9C-101B-9397-08002B2CF9AE}" pid="4" name="ICV">
    <vt:lpwstr>D7058810D9C54B2A8772BED84153C60F_13</vt:lpwstr>
  </property>
</Properties>
</file>